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F4" w:rsidRDefault="00D142F4"/>
    <w:p w:rsidR="003257BB" w:rsidRPr="009D5A85" w:rsidRDefault="003257BB" w:rsidP="003257BB">
      <w:pPr>
        <w:pStyle w:val="berschrift6"/>
        <w:rPr>
          <w:sz w:val="28"/>
          <w:szCs w:val="48"/>
        </w:rPr>
      </w:pPr>
      <w:r w:rsidRPr="009D5A85">
        <w:rPr>
          <w:sz w:val="28"/>
          <w:szCs w:val="48"/>
        </w:rPr>
        <w:t>SOP: Vorgehen bei Kontakt mit einer Patientin/einem Patienten</w:t>
      </w:r>
      <w:bookmarkStart w:id="0" w:name="_GoBack"/>
      <w:bookmarkEnd w:id="0"/>
      <w:r w:rsidRPr="009D5A85">
        <w:rPr>
          <w:sz w:val="28"/>
          <w:szCs w:val="48"/>
        </w:rPr>
        <w:t xml:space="preserve"> vor einer fertilitätsreduzierenden Therapie und nicht abgeschlossener Familienplanung</w:t>
      </w:r>
    </w:p>
    <w:p w:rsidR="003257BB" w:rsidRPr="009D5A85" w:rsidRDefault="003257BB" w:rsidP="003257BB">
      <w:pPr>
        <w:pStyle w:val="Kopfzeile"/>
        <w:tabs>
          <w:tab w:val="clear" w:pos="4536"/>
          <w:tab w:val="clear" w:pos="9072"/>
        </w:tabs>
        <w:rPr>
          <w:rFonts w:ascii="Arial" w:hAnsi="Arial"/>
          <w:b/>
          <w:sz w:val="18"/>
        </w:rPr>
      </w:pPr>
    </w:p>
    <w:p w:rsidR="003257BB" w:rsidRPr="009D5A85" w:rsidRDefault="003257BB" w:rsidP="003257BB">
      <w:pPr>
        <w:pStyle w:val="Kopfzeile"/>
        <w:tabs>
          <w:tab w:val="clear" w:pos="4536"/>
          <w:tab w:val="clear" w:pos="9072"/>
        </w:tabs>
        <w:jc w:val="both"/>
        <w:rPr>
          <w:rFonts w:ascii="Arial" w:hAnsi="Arial"/>
          <w:b/>
          <w:sz w:val="18"/>
        </w:rPr>
      </w:pPr>
    </w:p>
    <w:p w:rsidR="003257BB" w:rsidRPr="003257BB" w:rsidRDefault="003257BB" w:rsidP="003257BB">
      <w:pPr>
        <w:pStyle w:val="Kopfzeile"/>
        <w:jc w:val="both"/>
        <w:rPr>
          <w:rFonts w:ascii="Arial" w:hAnsi="Arial"/>
          <w:b/>
        </w:rPr>
      </w:pPr>
      <w:r w:rsidRPr="003257BB">
        <w:rPr>
          <w:rFonts w:ascii="Arial" w:hAnsi="Arial"/>
          <w:b/>
        </w:rPr>
        <w:t xml:space="preserve">Bei allen Patientinnen und Patienten mit einer geplanten Tumortherapie (OP, Radiatio, Systemische Therapie) muss prätherapeutisch das Ausmaß der möglichen Fertilitätsreduktion abgeschätzt werden. Wenn ein relevantes Risiko für eine Minderung der Fertilität besteht, muss eine Aufklärung über fertilitätskonservierende Maßnahmen erfolgen. </w:t>
      </w:r>
    </w:p>
    <w:p w:rsidR="003F507D" w:rsidRDefault="003F507D" w:rsidP="003257BB">
      <w:pPr>
        <w:pStyle w:val="Kopfzeile"/>
        <w:jc w:val="both"/>
        <w:rPr>
          <w:rFonts w:ascii="Arial" w:hAnsi="Arial"/>
          <w:b/>
        </w:rPr>
      </w:pPr>
    </w:p>
    <w:p w:rsidR="003257BB" w:rsidRPr="003257BB" w:rsidRDefault="003257BB" w:rsidP="003257BB">
      <w:pPr>
        <w:pStyle w:val="Kopfzeile"/>
        <w:jc w:val="both"/>
        <w:rPr>
          <w:rFonts w:ascii="Arial" w:hAnsi="Arial"/>
          <w:b/>
        </w:rPr>
      </w:pPr>
      <w:r w:rsidRPr="003257BB">
        <w:rPr>
          <w:rFonts w:ascii="Arial" w:hAnsi="Arial"/>
          <w:b/>
        </w:rPr>
        <w:t>Das Gespräch muss dokumentiert werden. Bitte verwenden Sie dazu den beigefügten Aufklärungsbogen. Im Gespräch sind die folgenden Punkte zu berücksichtigen:</w:t>
      </w:r>
    </w:p>
    <w:p w:rsidR="003257BB" w:rsidRPr="003257BB" w:rsidRDefault="003257BB" w:rsidP="003257BB">
      <w:pPr>
        <w:pStyle w:val="Kopfzeile"/>
        <w:jc w:val="both"/>
        <w:rPr>
          <w:rFonts w:ascii="Arial" w:hAnsi="Arial"/>
        </w:rPr>
      </w:pPr>
    </w:p>
    <w:p w:rsidR="003257BB" w:rsidRPr="003257BB" w:rsidRDefault="003257BB" w:rsidP="003257BB">
      <w:pPr>
        <w:pStyle w:val="Kopfzeile"/>
        <w:numPr>
          <w:ilvl w:val="0"/>
          <w:numId w:val="1"/>
        </w:numPr>
        <w:jc w:val="both"/>
        <w:rPr>
          <w:rFonts w:ascii="Arial" w:hAnsi="Arial"/>
        </w:rPr>
      </w:pPr>
      <w:r w:rsidRPr="003257BB">
        <w:rPr>
          <w:rFonts w:ascii="Arial" w:hAnsi="Arial"/>
        </w:rPr>
        <w:t xml:space="preserve">Die Patientin/der Patient erhält eine medikamentöse Tumortherapie und/oder Strahlentherapie, die eventuell zu einem Verlust der Gonadenfunktion und zu einem Verlust der Fertilität führen kann. Als Anhaltspunkt für das Risiko der Fertilitätsreduktion siehe Tabellen im Anhang. Diese bilden den aktuellen Wissenstand ab; Patientin/Patient müssen aber darauf hingewiesen werden, dass alle Therapien zu einer Einschränkung der Gonadenfunktion im individuellen Fall führen können.  </w:t>
      </w:r>
    </w:p>
    <w:p w:rsidR="003257BB" w:rsidRPr="003257BB" w:rsidRDefault="003257BB" w:rsidP="003257BB">
      <w:pPr>
        <w:pStyle w:val="Kopfzeile"/>
        <w:jc w:val="both"/>
        <w:rPr>
          <w:rFonts w:ascii="Arial" w:hAnsi="Arial"/>
        </w:rPr>
      </w:pPr>
      <w:r w:rsidRPr="003257BB">
        <w:rPr>
          <w:rFonts w:ascii="Arial" w:hAnsi="Arial"/>
        </w:rPr>
        <w:t xml:space="preserve"> </w:t>
      </w:r>
    </w:p>
    <w:p w:rsidR="003257BB" w:rsidRPr="003257BB" w:rsidRDefault="003257BB" w:rsidP="003257BB">
      <w:pPr>
        <w:pStyle w:val="Kopfzeile"/>
        <w:numPr>
          <w:ilvl w:val="0"/>
          <w:numId w:val="1"/>
        </w:numPr>
        <w:jc w:val="both"/>
        <w:rPr>
          <w:rFonts w:ascii="Arial" w:hAnsi="Arial"/>
        </w:rPr>
      </w:pPr>
      <w:r w:rsidRPr="003257BB">
        <w:rPr>
          <w:rFonts w:ascii="Arial" w:hAnsi="Arial"/>
        </w:rPr>
        <w:t>Die Patientin/der Patient soll über den möglichen Verlust der Gonadenfunktion und deren Folgen auf die Fertilität aufgeklärt werden. Dies gilt für Frauen vor der Menopause und Männer jeden Alters. Das Thema einer möglichen Hormonersatztherapie kann zusätzlich angesprochen werden.</w:t>
      </w:r>
    </w:p>
    <w:p w:rsidR="003257BB" w:rsidRPr="003257BB" w:rsidRDefault="003257BB" w:rsidP="003257BB">
      <w:pPr>
        <w:pStyle w:val="Kopfzeile"/>
        <w:jc w:val="both"/>
        <w:rPr>
          <w:rFonts w:ascii="Arial" w:hAnsi="Arial"/>
        </w:rPr>
      </w:pPr>
    </w:p>
    <w:p w:rsidR="003257BB" w:rsidRPr="003257BB" w:rsidRDefault="003257BB" w:rsidP="003257BB">
      <w:pPr>
        <w:pStyle w:val="Kopfzeile"/>
        <w:numPr>
          <w:ilvl w:val="0"/>
          <w:numId w:val="1"/>
        </w:numPr>
        <w:jc w:val="both"/>
        <w:rPr>
          <w:rFonts w:ascii="Arial" w:hAnsi="Arial"/>
        </w:rPr>
      </w:pPr>
      <w:r w:rsidRPr="003257BB">
        <w:rPr>
          <w:rFonts w:ascii="Arial" w:hAnsi="Arial"/>
        </w:rPr>
        <w:t>Bei nicht abgeschlossener Familienplanung soll die Patientin/der Patient über die Grundzüge möglicher fertilitätserhaltender Maßnahmen informiert werden und besprochen werden, wie solche Maßnahmen möglicherweise in das onkologische Therapiekonzept eingebaut werden könnten.  Eine detaillierte Aufklärung über diese Maßnahmen erfolgt bei grundsätzlichem Interesse der Patientin/des Patienten in einem spezialisierten Fortpflanzungszentrum.</w:t>
      </w:r>
    </w:p>
    <w:p w:rsidR="003257BB" w:rsidRPr="003257BB" w:rsidRDefault="003257BB" w:rsidP="003257BB">
      <w:pPr>
        <w:pStyle w:val="Kopfzeile"/>
        <w:jc w:val="both"/>
        <w:rPr>
          <w:rFonts w:ascii="Arial" w:hAnsi="Arial"/>
        </w:rPr>
      </w:pPr>
    </w:p>
    <w:p w:rsidR="003257BB" w:rsidRPr="003257BB" w:rsidRDefault="003257BB" w:rsidP="003257BB">
      <w:pPr>
        <w:pStyle w:val="Kopfzeile"/>
        <w:numPr>
          <w:ilvl w:val="0"/>
          <w:numId w:val="1"/>
        </w:numPr>
        <w:jc w:val="both"/>
        <w:rPr>
          <w:rFonts w:ascii="Arial" w:hAnsi="Arial"/>
        </w:rPr>
      </w:pPr>
      <w:r w:rsidRPr="003257BB">
        <w:rPr>
          <w:rFonts w:ascii="Arial" w:hAnsi="Arial"/>
        </w:rPr>
        <w:t>Fertilitätserhaltende Maßnahmen bei Frauen: (s. Anlage A)</w:t>
      </w:r>
    </w:p>
    <w:p w:rsidR="003257BB" w:rsidRPr="003257BB" w:rsidRDefault="003257BB" w:rsidP="003257BB">
      <w:pPr>
        <w:pStyle w:val="Kopfzeile"/>
        <w:numPr>
          <w:ilvl w:val="1"/>
          <w:numId w:val="1"/>
        </w:numPr>
        <w:jc w:val="both"/>
        <w:rPr>
          <w:rFonts w:ascii="Arial" w:hAnsi="Arial"/>
        </w:rPr>
      </w:pPr>
      <w:r w:rsidRPr="003257BB">
        <w:rPr>
          <w:rFonts w:ascii="Arial" w:hAnsi="Arial"/>
        </w:rPr>
        <w:t xml:space="preserve">Transposition der Gonaden vor einer Radiotherapie, </w:t>
      </w:r>
    </w:p>
    <w:p w:rsidR="003257BB" w:rsidRPr="003257BB" w:rsidRDefault="003257BB" w:rsidP="003257BB">
      <w:pPr>
        <w:pStyle w:val="Kopfzeile"/>
        <w:numPr>
          <w:ilvl w:val="1"/>
          <w:numId w:val="1"/>
        </w:numPr>
        <w:jc w:val="both"/>
        <w:rPr>
          <w:rFonts w:ascii="Arial" w:hAnsi="Arial"/>
        </w:rPr>
      </w:pPr>
      <w:r w:rsidRPr="003257BB">
        <w:rPr>
          <w:rFonts w:ascii="Arial" w:hAnsi="Arial"/>
        </w:rPr>
        <w:t>Kryokonservierung von befruchteten und unbefruchteten Eizellen,</w:t>
      </w:r>
    </w:p>
    <w:p w:rsidR="003257BB" w:rsidRPr="003257BB" w:rsidRDefault="003257BB" w:rsidP="003257BB">
      <w:pPr>
        <w:pStyle w:val="Kopfzeile"/>
        <w:numPr>
          <w:ilvl w:val="1"/>
          <w:numId w:val="1"/>
        </w:numPr>
        <w:jc w:val="both"/>
        <w:rPr>
          <w:rFonts w:ascii="Arial" w:hAnsi="Arial"/>
        </w:rPr>
      </w:pPr>
      <w:r w:rsidRPr="003257BB">
        <w:rPr>
          <w:rFonts w:ascii="Arial" w:hAnsi="Arial"/>
        </w:rPr>
        <w:t>Kryokonservierung von Ovarialgewebe,</w:t>
      </w:r>
    </w:p>
    <w:p w:rsidR="003257BB" w:rsidRPr="003257BB" w:rsidRDefault="003257BB" w:rsidP="003257BB">
      <w:pPr>
        <w:pStyle w:val="Kopfzeile"/>
        <w:numPr>
          <w:ilvl w:val="1"/>
          <w:numId w:val="1"/>
        </w:numPr>
        <w:jc w:val="both"/>
        <w:rPr>
          <w:rFonts w:ascii="Arial" w:hAnsi="Arial"/>
        </w:rPr>
      </w:pPr>
      <w:r w:rsidRPr="003257BB">
        <w:rPr>
          <w:rFonts w:ascii="Arial" w:hAnsi="Arial"/>
        </w:rPr>
        <w:t xml:space="preserve">medikamentöser Gonadenschutz durch GnRH-Analoga. </w:t>
      </w:r>
    </w:p>
    <w:p w:rsidR="003257BB" w:rsidRPr="003257BB" w:rsidRDefault="003257BB" w:rsidP="003257BB">
      <w:pPr>
        <w:pStyle w:val="Kopfzeile"/>
        <w:jc w:val="both"/>
        <w:rPr>
          <w:rFonts w:ascii="Arial" w:hAnsi="Arial"/>
        </w:rPr>
      </w:pPr>
    </w:p>
    <w:p w:rsidR="003257BB" w:rsidRPr="003257BB" w:rsidRDefault="003257BB" w:rsidP="003257BB">
      <w:pPr>
        <w:pStyle w:val="Kopfzeile"/>
        <w:numPr>
          <w:ilvl w:val="0"/>
          <w:numId w:val="1"/>
        </w:numPr>
        <w:jc w:val="both"/>
        <w:rPr>
          <w:rFonts w:ascii="Arial" w:hAnsi="Arial"/>
        </w:rPr>
      </w:pPr>
      <w:r w:rsidRPr="003257BB">
        <w:rPr>
          <w:rFonts w:ascii="Arial" w:hAnsi="Arial"/>
        </w:rPr>
        <w:t xml:space="preserve">Fertilitätserhaltende Maßnahmen bei Männern (s. Anlage B): </w:t>
      </w:r>
    </w:p>
    <w:p w:rsidR="003257BB" w:rsidRPr="003257BB" w:rsidRDefault="003257BB" w:rsidP="003257BB">
      <w:pPr>
        <w:pStyle w:val="Kopfzeile"/>
        <w:numPr>
          <w:ilvl w:val="1"/>
          <w:numId w:val="1"/>
        </w:numPr>
        <w:jc w:val="both"/>
        <w:rPr>
          <w:rFonts w:ascii="Arial" w:hAnsi="Arial"/>
        </w:rPr>
      </w:pPr>
      <w:r w:rsidRPr="003257BB">
        <w:rPr>
          <w:rFonts w:ascii="Arial" w:hAnsi="Arial"/>
        </w:rPr>
        <w:t xml:space="preserve">Kryokonservierung von Spermien, </w:t>
      </w:r>
    </w:p>
    <w:p w:rsidR="003257BB" w:rsidRPr="003257BB" w:rsidRDefault="003257BB" w:rsidP="003257BB">
      <w:pPr>
        <w:pStyle w:val="Kopfzeile"/>
        <w:numPr>
          <w:ilvl w:val="1"/>
          <w:numId w:val="1"/>
        </w:numPr>
        <w:jc w:val="both"/>
        <w:rPr>
          <w:rFonts w:ascii="Arial" w:hAnsi="Arial"/>
        </w:rPr>
      </w:pPr>
      <w:r w:rsidRPr="003257BB">
        <w:rPr>
          <w:rFonts w:ascii="Arial" w:hAnsi="Arial"/>
        </w:rPr>
        <w:t>Kryokonservierung von Hodengewebe</w:t>
      </w:r>
      <w:r w:rsidR="005524D6">
        <w:rPr>
          <w:rFonts w:ascii="Arial" w:hAnsi="Arial"/>
        </w:rPr>
        <w:t>.</w:t>
      </w:r>
      <w:r w:rsidRPr="003257BB">
        <w:rPr>
          <w:rFonts w:ascii="Arial" w:hAnsi="Arial"/>
        </w:rPr>
        <w:t xml:space="preserve"> </w:t>
      </w:r>
    </w:p>
    <w:p w:rsidR="003257BB" w:rsidRPr="003257BB" w:rsidRDefault="003257BB" w:rsidP="003257BB">
      <w:pPr>
        <w:pStyle w:val="Kopfzeile"/>
        <w:jc w:val="both"/>
        <w:rPr>
          <w:rFonts w:ascii="Arial" w:hAnsi="Arial"/>
        </w:rPr>
      </w:pPr>
    </w:p>
    <w:p w:rsidR="003257BB" w:rsidRPr="003257BB" w:rsidRDefault="003257BB" w:rsidP="003257BB">
      <w:pPr>
        <w:pStyle w:val="Kopfzeile"/>
        <w:numPr>
          <w:ilvl w:val="0"/>
          <w:numId w:val="1"/>
        </w:numPr>
        <w:jc w:val="both"/>
        <w:rPr>
          <w:rFonts w:ascii="Arial" w:hAnsi="Arial"/>
        </w:rPr>
      </w:pPr>
      <w:r w:rsidRPr="003257BB">
        <w:rPr>
          <w:rFonts w:ascii="Arial" w:hAnsi="Arial"/>
        </w:rPr>
        <w:t>Die Beratung von Patientinnen/Patienten hinsichtlich einer späteren Familienplanung soll möglichst zeitnah zur Diagnosestellung bzw. Therapieplanung des Krebsleidens erfolgen, um eine individuelle Beratung und eine patientenspezifische Option des Fertilitätserhaltes durchführen zu können.</w:t>
      </w:r>
    </w:p>
    <w:p w:rsidR="003257BB" w:rsidRPr="003257BB" w:rsidRDefault="003257BB" w:rsidP="003257BB">
      <w:pPr>
        <w:pStyle w:val="Kopfzeile"/>
        <w:jc w:val="both"/>
        <w:rPr>
          <w:rFonts w:ascii="Arial" w:hAnsi="Arial"/>
        </w:rPr>
      </w:pPr>
    </w:p>
    <w:p w:rsidR="003257BB" w:rsidRPr="003257BB" w:rsidRDefault="003257BB" w:rsidP="003257BB">
      <w:pPr>
        <w:pStyle w:val="Kopfzeile"/>
        <w:numPr>
          <w:ilvl w:val="0"/>
          <w:numId w:val="1"/>
        </w:numPr>
        <w:jc w:val="both"/>
        <w:rPr>
          <w:rFonts w:ascii="Arial" w:hAnsi="Arial"/>
        </w:rPr>
      </w:pPr>
      <w:r w:rsidRPr="003257BB">
        <w:rPr>
          <w:rFonts w:ascii="Arial" w:hAnsi="Arial"/>
        </w:rPr>
        <w:t>Äußert die Patientin/der Patient den Wunsch, dass fertilitätserhaltende Maßnahmen für sie/ihn infrage kommen, sollte eine Anbindung an ein spezialisiertes Fortpflanzungszentrum für Fertilitätsprotektion erfolgen.</w:t>
      </w:r>
    </w:p>
    <w:p w:rsidR="003257BB" w:rsidRPr="00163FEC" w:rsidRDefault="003257BB" w:rsidP="003257BB">
      <w:pPr>
        <w:pStyle w:val="Kopfzeile"/>
        <w:tabs>
          <w:tab w:val="clear" w:pos="4536"/>
          <w:tab w:val="clear" w:pos="9072"/>
        </w:tabs>
        <w:jc w:val="both"/>
        <w:rPr>
          <w:rFonts w:ascii="Arial" w:hAnsi="Arial"/>
        </w:rPr>
      </w:pPr>
    </w:p>
    <w:p w:rsidR="003257BB" w:rsidRPr="001C16E3" w:rsidRDefault="003257BB" w:rsidP="003257BB">
      <w:pPr>
        <w:rPr>
          <w:rFonts w:ascii="Arial" w:hAnsi="Arial"/>
        </w:rPr>
      </w:pPr>
    </w:p>
    <w:p w:rsidR="00966720" w:rsidRPr="00966720" w:rsidRDefault="00966720" w:rsidP="00966720">
      <w:pPr>
        <w:rPr>
          <w:rFonts w:ascii="Arial" w:hAnsi="Arial"/>
          <w:b/>
        </w:rPr>
      </w:pPr>
      <w:r w:rsidRPr="00966720">
        <w:rPr>
          <w:rFonts w:ascii="Arial" w:hAnsi="Arial"/>
          <w:b/>
        </w:rPr>
        <w:t>Anlage</w:t>
      </w:r>
    </w:p>
    <w:p w:rsidR="00966720" w:rsidRPr="00966720" w:rsidRDefault="00966720" w:rsidP="00966720">
      <w:pPr>
        <w:numPr>
          <w:ilvl w:val="0"/>
          <w:numId w:val="2"/>
        </w:numPr>
        <w:rPr>
          <w:rFonts w:ascii="Arial" w:hAnsi="Arial"/>
        </w:rPr>
      </w:pPr>
      <w:r w:rsidRPr="00966720">
        <w:rPr>
          <w:rFonts w:ascii="Arial" w:hAnsi="Arial"/>
        </w:rPr>
        <w:t>Für Frauen</w:t>
      </w:r>
    </w:p>
    <w:p w:rsidR="00966720" w:rsidRPr="00966720" w:rsidRDefault="00966720" w:rsidP="00966720">
      <w:pPr>
        <w:numPr>
          <w:ilvl w:val="0"/>
          <w:numId w:val="2"/>
        </w:numPr>
        <w:rPr>
          <w:rFonts w:ascii="Arial" w:hAnsi="Arial"/>
        </w:rPr>
      </w:pPr>
      <w:r w:rsidRPr="00966720">
        <w:rPr>
          <w:rFonts w:ascii="Arial" w:hAnsi="Arial"/>
        </w:rPr>
        <w:t>Für Männer</w:t>
      </w:r>
    </w:p>
    <w:p w:rsidR="00966720" w:rsidRPr="00966720" w:rsidRDefault="00966720" w:rsidP="00966720">
      <w:pPr>
        <w:numPr>
          <w:ilvl w:val="0"/>
          <w:numId w:val="2"/>
        </w:numPr>
        <w:rPr>
          <w:rFonts w:ascii="Arial" w:hAnsi="Arial"/>
        </w:rPr>
      </w:pPr>
      <w:r w:rsidRPr="00966720">
        <w:rPr>
          <w:rFonts w:ascii="Arial" w:hAnsi="Arial"/>
        </w:rPr>
        <w:t>Literatur</w:t>
      </w:r>
    </w:p>
    <w:p w:rsidR="00966564" w:rsidRDefault="00966564" w:rsidP="00966720">
      <w:pPr>
        <w:rPr>
          <w:rFonts w:ascii="Arial" w:hAnsi="Arial" w:cs="Arial"/>
          <w:b/>
          <w:sz w:val="24"/>
        </w:rPr>
      </w:pPr>
    </w:p>
    <w:p w:rsidR="00966720" w:rsidRPr="00966720" w:rsidRDefault="00966720" w:rsidP="00966720">
      <w:pPr>
        <w:rPr>
          <w:rFonts w:ascii="Arial" w:hAnsi="Arial" w:cs="Arial"/>
          <w:b/>
          <w:sz w:val="24"/>
        </w:rPr>
      </w:pPr>
      <w:r w:rsidRPr="00966720">
        <w:rPr>
          <w:rFonts w:ascii="Arial" w:hAnsi="Arial" w:cs="Arial"/>
          <w:b/>
          <w:sz w:val="24"/>
        </w:rPr>
        <w:lastRenderedPageBreak/>
        <w:t>Anlage A) Für Frauen</w:t>
      </w:r>
    </w:p>
    <w:p w:rsidR="00966720" w:rsidRDefault="00966720" w:rsidP="00966720">
      <w:pPr>
        <w:rPr>
          <w:rFonts w:ascii="Arial" w:hAnsi="Arial" w:cs="Arial"/>
          <w:b/>
        </w:rPr>
      </w:pPr>
    </w:p>
    <w:p w:rsidR="00966720" w:rsidRPr="00966720" w:rsidRDefault="00966720" w:rsidP="00966720">
      <w:pPr>
        <w:rPr>
          <w:rFonts w:ascii="Arial" w:hAnsi="Arial" w:cs="Arial"/>
          <w:b/>
        </w:rPr>
      </w:pPr>
      <w:r w:rsidRPr="00966720">
        <w:rPr>
          <w:rFonts w:ascii="Arial" w:hAnsi="Arial" w:cs="Arial"/>
          <w:b/>
        </w:rPr>
        <w:t>1</w:t>
      </w:r>
      <w:r w:rsidRPr="00966720">
        <w:rPr>
          <w:rFonts w:ascii="Arial" w:hAnsi="Arial" w:cs="Arial"/>
          <w:b/>
        </w:rPr>
        <w:tab/>
        <w:t>Liste der lokalen Ansprechpartner in den Fortpflanzungszentren:</w:t>
      </w:r>
    </w:p>
    <w:permStart w:id="0" w:edGrp="everyone" w:displacedByCustomXml="next"/>
    <w:sdt>
      <w:sdtPr>
        <w:rPr>
          <w:rFonts w:ascii="Arial" w:hAnsi="Arial" w:cs="Arial"/>
          <w:i/>
          <w:sz w:val="20"/>
        </w:rPr>
        <w:id w:val="21472276"/>
        <w:placeholder>
          <w:docPart w:val="DefaultPlaceholder_22675703"/>
        </w:placeholder>
        <w:temporary/>
        <w:text/>
      </w:sdtPr>
      <w:sdtContent>
        <w:p w:rsidR="00966720" w:rsidRPr="00966720" w:rsidRDefault="00966720" w:rsidP="00966720">
          <w:pPr>
            <w:pStyle w:val="Textkrper"/>
            <w:spacing w:line="276" w:lineRule="auto"/>
            <w:ind w:firstLine="705"/>
            <w:jc w:val="left"/>
            <w:rPr>
              <w:rFonts w:ascii="Arial" w:hAnsi="Arial" w:cs="Arial"/>
              <w:i/>
              <w:sz w:val="20"/>
            </w:rPr>
          </w:pPr>
          <w:r w:rsidRPr="00C450A7">
            <w:rPr>
              <w:rFonts w:ascii="Arial" w:hAnsi="Arial" w:cs="Arial"/>
              <w:i/>
              <w:sz w:val="20"/>
            </w:rPr>
            <w:t>Bitte tragen Sie Ihre lokalen Ansprechpartner ein</w:t>
          </w:r>
        </w:p>
      </w:sdtContent>
    </w:sdt>
    <w:permEnd w:id="0" w:displacedByCustomXml="prev"/>
    <w:p w:rsidR="00966720" w:rsidRDefault="00966720" w:rsidP="00966720">
      <w:pPr>
        <w:ind w:left="705"/>
        <w:rPr>
          <w:rFonts w:ascii="Arial" w:hAnsi="Arial" w:cs="Arial"/>
        </w:rPr>
      </w:pPr>
    </w:p>
    <w:p w:rsidR="00966720" w:rsidRPr="00322885" w:rsidRDefault="00966720" w:rsidP="00966720">
      <w:pPr>
        <w:ind w:left="705"/>
        <w:rPr>
          <w:rStyle w:val="Hyperlink"/>
          <w:rFonts w:ascii="Arial" w:hAnsi="Arial" w:cs="Arial"/>
          <w:b/>
        </w:rPr>
      </w:pPr>
      <w:r w:rsidRPr="00966720">
        <w:rPr>
          <w:rFonts w:ascii="Arial" w:hAnsi="Arial" w:cs="Arial"/>
        </w:rPr>
        <w:t xml:space="preserve">Kooperierende Zentren und Ansprechpartner aus Deutschland, Österreich und der Schweiz finden Sie auf der Homepage: </w:t>
      </w:r>
      <w:hyperlink r:id="rId7" w:history="1">
        <w:r w:rsidRPr="00322885">
          <w:rPr>
            <w:rStyle w:val="Hyperlink"/>
            <w:rFonts w:ascii="Arial" w:hAnsi="Arial" w:cs="Arial"/>
            <w:b/>
          </w:rPr>
          <w:t>www.fertiprotekt.de</w:t>
        </w:r>
      </w:hyperlink>
    </w:p>
    <w:p w:rsidR="00966720" w:rsidRPr="00966720" w:rsidRDefault="00966720" w:rsidP="00966720">
      <w:pPr>
        <w:rPr>
          <w:rFonts w:ascii="Arial" w:hAnsi="Arial" w:cs="Arial"/>
        </w:rPr>
      </w:pPr>
    </w:p>
    <w:p w:rsidR="00966720" w:rsidRPr="00966720" w:rsidRDefault="00966720" w:rsidP="00966720">
      <w:pPr>
        <w:ind w:left="705" w:hanging="705"/>
        <w:rPr>
          <w:rFonts w:ascii="Arial" w:hAnsi="Arial" w:cs="Arial"/>
          <w:b/>
        </w:rPr>
      </w:pPr>
      <w:r w:rsidRPr="00966720">
        <w:rPr>
          <w:rFonts w:ascii="Arial" w:hAnsi="Arial" w:cs="Arial"/>
          <w:b/>
        </w:rPr>
        <w:t>2</w:t>
      </w:r>
      <w:r w:rsidRPr="00966720">
        <w:rPr>
          <w:rFonts w:ascii="Arial" w:hAnsi="Arial" w:cs="Arial"/>
          <w:b/>
        </w:rPr>
        <w:tab/>
        <w:t>Beispiele für Risiko der Infertilität nach bestimmten medizinischen Maßnahmen:</w:t>
      </w:r>
    </w:p>
    <w:p w:rsidR="00966720" w:rsidRPr="00966720" w:rsidRDefault="00966720" w:rsidP="00966720">
      <w:pPr>
        <w:ind w:left="705" w:hanging="705"/>
        <w:rPr>
          <w:rFonts w:ascii="Arial" w:hAnsi="Arial" w:cs="Arial"/>
          <w:b/>
        </w:rPr>
      </w:pPr>
    </w:p>
    <w:p w:rsidR="00966720" w:rsidRPr="00966720" w:rsidRDefault="00966720" w:rsidP="00966720">
      <w:pPr>
        <w:spacing w:before="240"/>
        <w:ind w:left="705" w:hanging="705"/>
        <w:rPr>
          <w:rFonts w:ascii="Arial" w:hAnsi="Arial" w:cs="Arial"/>
          <w:b/>
        </w:rPr>
      </w:pPr>
      <w:r w:rsidRPr="00966720">
        <w:rPr>
          <w:rFonts w:ascii="Arial" w:hAnsi="Arial" w:cs="Arial"/>
          <w:b/>
        </w:rPr>
        <w:t>Tabelle 1: Ovartoxische Wirkung verschiedener Chemotherapeutika</w:t>
      </w:r>
      <w:r w:rsidRPr="00966720">
        <w:rPr>
          <w:rFonts w:ascii="Arial" w:hAnsi="Arial" w:cs="Arial"/>
        </w:rPr>
        <w:t xml:space="preserve"> (nach Lit. 1, 2 und 3)</w:t>
      </w:r>
    </w:p>
    <w:p w:rsidR="00966720" w:rsidRPr="00966720" w:rsidRDefault="00966720" w:rsidP="00966720">
      <w:pPr>
        <w:rPr>
          <w:rFonts w:ascii="Arial" w:hAnsi="Arial" w:cs="Arial"/>
          <w:b/>
          <w:sz w:val="8"/>
          <w:szCs w:val="8"/>
        </w:rPr>
      </w:pPr>
    </w:p>
    <w:tbl>
      <w:tblPr>
        <w:tblStyle w:val="Tabellengitternetz"/>
        <w:tblW w:w="9322" w:type="dxa"/>
        <w:tblLook w:val="04A0"/>
      </w:tblPr>
      <w:tblGrid>
        <w:gridCol w:w="3070"/>
        <w:gridCol w:w="6252"/>
      </w:tblGrid>
      <w:tr w:rsidR="00966720" w:rsidRPr="00966720" w:rsidTr="00966720">
        <w:trPr>
          <w:trHeight w:val="475"/>
        </w:trPr>
        <w:tc>
          <w:tcPr>
            <w:tcW w:w="3070"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Risiko</w:t>
            </w:r>
          </w:p>
        </w:tc>
        <w:tc>
          <w:tcPr>
            <w:tcW w:w="6252" w:type="dxa"/>
            <w:tcBorders>
              <w:bottom w:val="single" w:sz="4" w:space="0" w:color="auto"/>
            </w:tcBorders>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Regime/Substanz</w:t>
            </w:r>
          </w:p>
        </w:tc>
      </w:tr>
      <w:tr w:rsidR="00966720" w:rsidRPr="00966720" w:rsidTr="009545C7">
        <w:tc>
          <w:tcPr>
            <w:tcW w:w="3070" w:type="dxa"/>
            <w:tcBorders>
              <w:right w:val="single" w:sz="4" w:space="0" w:color="auto"/>
            </w:tcBorders>
          </w:tcPr>
          <w:p w:rsidR="00966720" w:rsidRPr="00966720" w:rsidRDefault="00966720" w:rsidP="009545C7">
            <w:pPr>
              <w:rPr>
                <w:rFonts w:ascii="Arial" w:hAnsi="Arial" w:cs="Arial"/>
                <w:b/>
              </w:rPr>
            </w:pPr>
            <w:r w:rsidRPr="00966720">
              <w:rPr>
                <w:rFonts w:ascii="Arial" w:hAnsi="Arial" w:cs="Arial"/>
                <w:b/>
              </w:rPr>
              <w:t xml:space="preserve">Hohes Risiko </w:t>
            </w:r>
          </w:p>
          <w:p w:rsidR="00966720" w:rsidRPr="00966720" w:rsidRDefault="00966720" w:rsidP="009545C7">
            <w:pPr>
              <w:rPr>
                <w:rFonts w:ascii="Arial" w:hAnsi="Arial" w:cs="Arial"/>
                <w:b/>
              </w:rPr>
            </w:pPr>
            <w:r w:rsidRPr="00966720">
              <w:rPr>
                <w:rFonts w:ascii="Arial" w:hAnsi="Arial" w:cs="Arial"/>
                <w:b/>
              </w:rPr>
              <w:t>(&gt; 80%iges Risiko für eine permanente Amenorrhoe)</w:t>
            </w:r>
          </w:p>
        </w:tc>
        <w:tc>
          <w:tcPr>
            <w:tcW w:w="6252" w:type="dxa"/>
            <w:tcBorders>
              <w:top w:val="single" w:sz="4" w:space="0" w:color="auto"/>
              <w:left w:val="single" w:sz="4" w:space="0" w:color="auto"/>
              <w:bottom w:val="single" w:sz="4" w:space="0" w:color="auto"/>
              <w:right w:val="single" w:sz="4" w:space="0" w:color="auto"/>
            </w:tcBorders>
          </w:tcPr>
          <w:p w:rsidR="00966720" w:rsidRPr="00966720" w:rsidRDefault="00966720" w:rsidP="009545C7">
            <w:pPr>
              <w:pStyle w:val="Listenabsatz"/>
              <w:numPr>
                <w:ilvl w:val="0"/>
                <w:numId w:val="3"/>
              </w:numPr>
              <w:spacing w:after="0" w:line="240" w:lineRule="auto"/>
              <w:rPr>
                <w:rFonts w:ascii="Arial" w:hAnsi="Arial" w:cs="Arial"/>
                <w:sz w:val="20"/>
                <w:szCs w:val="20"/>
              </w:rPr>
            </w:pPr>
            <w:r w:rsidRPr="00966720">
              <w:rPr>
                <w:rFonts w:ascii="Arial" w:hAnsi="Arial" w:cs="Arial"/>
                <w:sz w:val="20"/>
                <w:szCs w:val="20"/>
              </w:rPr>
              <w:t>CMF, CEF, CAF, TAC x 6 bei Frauen ≥ 40 Jahre</w:t>
            </w:r>
          </w:p>
          <w:p w:rsidR="00966720" w:rsidRPr="00966720" w:rsidRDefault="00966720" w:rsidP="009545C7">
            <w:pPr>
              <w:pStyle w:val="Listenabsatz"/>
              <w:numPr>
                <w:ilvl w:val="0"/>
                <w:numId w:val="3"/>
              </w:numPr>
              <w:spacing w:after="0" w:line="240" w:lineRule="auto"/>
              <w:rPr>
                <w:rFonts w:ascii="Arial" w:hAnsi="Arial" w:cs="Arial"/>
                <w:sz w:val="20"/>
                <w:szCs w:val="20"/>
              </w:rPr>
            </w:pPr>
            <w:r w:rsidRPr="00966720">
              <w:rPr>
                <w:rFonts w:ascii="Arial" w:hAnsi="Arial" w:cs="Arial"/>
                <w:sz w:val="20"/>
                <w:szCs w:val="20"/>
              </w:rPr>
              <w:t>Konditionierung für Stammzelltran</w:t>
            </w:r>
            <w:r w:rsidR="005524D6">
              <w:rPr>
                <w:rFonts w:ascii="Arial" w:hAnsi="Arial" w:cs="Arial"/>
                <w:sz w:val="20"/>
                <w:szCs w:val="20"/>
              </w:rPr>
              <w:t>s</w:t>
            </w:r>
            <w:r w:rsidRPr="00966720">
              <w:rPr>
                <w:rFonts w:ascii="Arial" w:hAnsi="Arial" w:cs="Arial"/>
                <w:sz w:val="20"/>
                <w:szCs w:val="20"/>
              </w:rPr>
              <w:t>plantation (insbesondere Alkylantien-basierte myeloablative Konditionierung mit Busulfan, Cyclophosphamid, Melphalan)</w:t>
            </w:r>
          </w:p>
          <w:p w:rsidR="00966720" w:rsidRPr="00966720" w:rsidRDefault="00966720" w:rsidP="009545C7">
            <w:pPr>
              <w:pStyle w:val="Listenabsatz"/>
              <w:numPr>
                <w:ilvl w:val="0"/>
                <w:numId w:val="3"/>
              </w:numPr>
              <w:spacing w:after="0" w:line="240" w:lineRule="auto"/>
              <w:rPr>
                <w:rFonts w:ascii="Arial" w:hAnsi="Arial" w:cs="Arial"/>
                <w:sz w:val="20"/>
                <w:szCs w:val="20"/>
              </w:rPr>
            </w:pPr>
            <w:r w:rsidRPr="00966720">
              <w:rPr>
                <w:rFonts w:ascii="Arial" w:hAnsi="Arial" w:cs="Arial"/>
                <w:sz w:val="20"/>
                <w:szCs w:val="20"/>
              </w:rPr>
              <w:t>BEACOPP x 6-8 bei Frauen &gt; 35 Jahre</w:t>
            </w:r>
          </w:p>
          <w:p w:rsidR="00966720" w:rsidRPr="00966720" w:rsidRDefault="00966720" w:rsidP="009545C7">
            <w:pPr>
              <w:pStyle w:val="Listenabsatz"/>
              <w:spacing w:after="0" w:line="240" w:lineRule="auto"/>
              <w:rPr>
                <w:rFonts w:ascii="Arial" w:hAnsi="Arial" w:cs="Arial"/>
                <w:sz w:val="20"/>
                <w:szCs w:val="20"/>
              </w:rPr>
            </w:pPr>
          </w:p>
        </w:tc>
      </w:tr>
      <w:tr w:rsidR="00966720" w:rsidRPr="00966720" w:rsidTr="009545C7">
        <w:tc>
          <w:tcPr>
            <w:tcW w:w="3070" w:type="dxa"/>
            <w:tcBorders>
              <w:right w:val="single" w:sz="4" w:space="0" w:color="auto"/>
            </w:tcBorders>
          </w:tcPr>
          <w:p w:rsidR="00966720" w:rsidRPr="00966720" w:rsidRDefault="00966720" w:rsidP="009545C7">
            <w:pPr>
              <w:rPr>
                <w:rFonts w:ascii="Arial" w:hAnsi="Arial" w:cs="Arial"/>
                <w:b/>
              </w:rPr>
            </w:pPr>
            <w:r w:rsidRPr="00966720">
              <w:rPr>
                <w:rFonts w:ascii="Arial" w:hAnsi="Arial" w:cs="Arial"/>
                <w:b/>
              </w:rPr>
              <w:t xml:space="preserve">Intermediäres Risiko </w:t>
            </w:r>
          </w:p>
          <w:p w:rsidR="00966720" w:rsidRPr="00966720" w:rsidRDefault="00966720" w:rsidP="009545C7">
            <w:pPr>
              <w:rPr>
                <w:rFonts w:ascii="Arial" w:hAnsi="Arial" w:cs="Arial"/>
                <w:b/>
              </w:rPr>
            </w:pPr>
            <w:r w:rsidRPr="00966720">
              <w:rPr>
                <w:rFonts w:ascii="Arial" w:hAnsi="Arial" w:cs="Arial"/>
                <w:b/>
              </w:rPr>
              <w:t>(40-60%iges Risiko für eine permanente Amenorrhoe)</w:t>
            </w:r>
          </w:p>
        </w:tc>
        <w:tc>
          <w:tcPr>
            <w:tcW w:w="6252" w:type="dxa"/>
            <w:tcBorders>
              <w:top w:val="single" w:sz="4" w:space="0" w:color="auto"/>
              <w:left w:val="single" w:sz="4" w:space="0" w:color="auto"/>
              <w:bottom w:val="single" w:sz="4" w:space="0" w:color="auto"/>
              <w:right w:val="single" w:sz="4" w:space="0" w:color="auto"/>
            </w:tcBorders>
          </w:tcPr>
          <w:p w:rsidR="00966720" w:rsidRPr="00966720" w:rsidRDefault="00966720" w:rsidP="009545C7">
            <w:pPr>
              <w:pStyle w:val="Listenabsatz"/>
              <w:numPr>
                <w:ilvl w:val="0"/>
                <w:numId w:val="4"/>
              </w:numPr>
              <w:spacing w:after="0" w:line="240" w:lineRule="auto"/>
              <w:rPr>
                <w:rFonts w:ascii="Arial" w:hAnsi="Arial" w:cs="Arial"/>
                <w:sz w:val="20"/>
                <w:szCs w:val="20"/>
              </w:rPr>
            </w:pPr>
            <w:r w:rsidRPr="00966720">
              <w:rPr>
                <w:rFonts w:ascii="Arial" w:hAnsi="Arial" w:cs="Arial"/>
                <w:sz w:val="20"/>
                <w:szCs w:val="20"/>
              </w:rPr>
              <w:t>CMF, CEF, CAF, TAC x 6 bei Frauen 30–39 Jahre</w:t>
            </w:r>
          </w:p>
          <w:p w:rsidR="00966720" w:rsidRPr="00966720" w:rsidRDefault="00966720" w:rsidP="009545C7">
            <w:pPr>
              <w:pStyle w:val="Listenabsatz"/>
              <w:numPr>
                <w:ilvl w:val="0"/>
                <w:numId w:val="4"/>
              </w:numPr>
              <w:spacing w:after="0" w:line="240" w:lineRule="auto"/>
              <w:rPr>
                <w:rFonts w:ascii="Arial" w:hAnsi="Arial" w:cs="Arial"/>
                <w:sz w:val="20"/>
                <w:szCs w:val="20"/>
              </w:rPr>
            </w:pPr>
            <w:r w:rsidRPr="00966720">
              <w:rPr>
                <w:rFonts w:ascii="Arial" w:hAnsi="Arial" w:cs="Arial"/>
                <w:sz w:val="20"/>
                <w:szCs w:val="20"/>
              </w:rPr>
              <w:t>AC x 4 bei Frauen ≥ 40 Jahre</w:t>
            </w:r>
          </w:p>
          <w:p w:rsidR="00966720" w:rsidRPr="00966720" w:rsidRDefault="00966720" w:rsidP="009545C7">
            <w:pPr>
              <w:pStyle w:val="Listenabsatz"/>
              <w:numPr>
                <w:ilvl w:val="0"/>
                <w:numId w:val="4"/>
              </w:numPr>
              <w:spacing w:after="0" w:line="240" w:lineRule="auto"/>
              <w:rPr>
                <w:rFonts w:ascii="Arial" w:hAnsi="Arial" w:cs="Arial"/>
                <w:sz w:val="20"/>
                <w:szCs w:val="20"/>
                <w:lang w:val="en-US"/>
              </w:rPr>
            </w:pPr>
            <w:r w:rsidRPr="00966720">
              <w:rPr>
                <w:rFonts w:ascii="Arial" w:hAnsi="Arial" w:cs="Arial"/>
                <w:sz w:val="20"/>
                <w:szCs w:val="20"/>
                <w:lang w:val="en-US"/>
              </w:rPr>
              <w:t>AC oder EC x 4 → Taxan</w:t>
            </w:r>
          </w:p>
          <w:p w:rsidR="00966720" w:rsidRPr="00966720" w:rsidRDefault="00966720" w:rsidP="009545C7">
            <w:pPr>
              <w:pStyle w:val="Listenabsatz"/>
              <w:numPr>
                <w:ilvl w:val="0"/>
                <w:numId w:val="4"/>
              </w:numPr>
              <w:spacing w:after="0" w:line="240" w:lineRule="auto"/>
              <w:rPr>
                <w:rFonts w:ascii="Arial" w:hAnsi="Arial" w:cs="Arial"/>
                <w:sz w:val="20"/>
                <w:szCs w:val="20"/>
              </w:rPr>
            </w:pPr>
            <w:r w:rsidRPr="00966720">
              <w:rPr>
                <w:rFonts w:ascii="Arial" w:hAnsi="Arial" w:cs="Arial"/>
                <w:sz w:val="20"/>
                <w:szCs w:val="20"/>
              </w:rPr>
              <w:t>BEACOPP x 6-8 bei Frauen 25-35 Jahre</w:t>
            </w:r>
          </w:p>
          <w:p w:rsidR="00966720" w:rsidRPr="00966720" w:rsidRDefault="00966720" w:rsidP="009545C7">
            <w:pPr>
              <w:pStyle w:val="Listenabsatz"/>
              <w:numPr>
                <w:ilvl w:val="0"/>
                <w:numId w:val="4"/>
              </w:numPr>
              <w:spacing w:after="0" w:line="240" w:lineRule="auto"/>
              <w:rPr>
                <w:rFonts w:ascii="Arial" w:hAnsi="Arial" w:cs="Arial"/>
                <w:sz w:val="20"/>
                <w:szCs w:val="20"/>
              </w:rPr>
            </w:pPr>
            <w:r w:rsidRPr="00966720">
              <w:rPr>
                <w:rFonts w:ascii="Arial" w:hAnsi="Arial" w:cs="Arial"/>
                <w:sz w:val="20"/>
                <w:szCs w:val="20"/>
              </w:rPr>
              <w:t>CHOP x 6 bei Frauen ≥ 35 Jahre</w:t>
            </w:r>
          </w:p>
          <w:p w:rsidR="00966720" w:rsidRPr="00966720" w:rsidRDefault="00966720" w:rsidP="009545C7">
            <w:pPr>
              <w:pStyle w:val="Listenabsatz"/>
              <w:numPr>
                <w:ilvl w:val="0"/>
                <w:numId w:val="4"/>
              </w:numPr>
              <w:spacing w:after="0" w:line="240" w:lineRule="auto"/>
              <w:rPr>
                <w:rFonts w:ascii="Arial" w:hAnsi="Arial" w:cs="Arial"/>
                <w:sz w:val="20"/>
                <w:szCs w:val="20"/>
              </w:rPr>
            </w:pPr>
            <w:r w:rsidRPr="00966720">
              <w:rPr>
                <w:rFonts w:ascii="Arial" w:hAnsi="Arial" w:cs="Arial"/>
                <w:sz w:val="20"/>
                <w:szCs w:val="20"/>
              </w:rPr>
              <w:t>Knochen- und Weichteilsarkom-typische Therapie</w:t>
            </w:r>
          </w:p>
          <w:p w:rsidR="00966720" w:rsidRPr="00966720" w:rsidRDefault="00966720" w:rsidP="009545C7">
            <w:pPr>
              <w:pStyle w:val="Listenabsatz"/>
              <w:spacing w:after="0" w:line="240" w:lineRule="auto"/>
              <w:rPr>
                <w:rFonts w:ascii="Arial" w:hAnsi="Arial" w:cs="Arial"/>
                <w:sz w:val="20"/>
                <w:szCs w:val="20"/>
              </w:rPr>
            </w:pPr>
          </w:p>
        </w:tc>
      </w:tr>
      <w:tr w:rsidR="00966720" w:rsidRPr="00966720" w:rsidTr="009545C7">
        <w:tc>
          <w:tcPr>
            <w:tcW w:w="3070" w:type="dxa"/>
            <w:tcBorders>
              <w:right w:val="single" w:sz="4" w:space="0" w:color="auto"/>
            </w:tcBorders>
          </w:tcPr>
          <w:p w:rsidR="00966720" w:rsidRPr="00966720" w:rsidRDefault="00966720" w:rsidP="009545C7">
            <w:pPr>
              <w:rPr>
                <w:rFonts w:ascii="Arial" w:hAnsi="Arial" w:cs="Arial"/>
                <w:b/>
              </w:rPr>
            </w:pPr>
            <w:r w:rsidRPr="00966720">
              <w:rPr>
                <w:rFonts w:ascii="Arial" w:hAnsi="Arial" w:cs="Arial"/>
                <w:b/>
              </w:rPr>
              <w:t>Niedriges Risiko</w:t>
            </w:r>
          </w:p>
          <w:p w:rsidR="00966720" w:rsidRPr="00966720" w:rsidRDefault="00966720" w:rsidP="009545C7">
            <w:pPr>
              <w:rPr>
                <w:rFonts w:ascii="Arial" w:hAnsi="Arial" w:cs="Arial"/>
                <w:b/>
              </w:rPr>
            </w:pPr>
            <w:r w:rsidRPr="00966720">
              <w:rPr>
                <w:rFonts w:ascii="Arial" w:hAnsi="Arial" w:cs="Arial"/>
                <w:b/>
              </w:rPr>
              <w:t>(&lt; 20%iges Risiko für eine permanente Amenorrhoe)</w:t>
            </w:r>
          </w:p>
        </w:tc>
        <w:tc>
          <w:tcPr>
            <w:tcW w:w="6252" w:type="dxa"/>
            <w:tcBorders>
              <w:top w:val="single" w:sz="4" w:space="0" w:color="auto"/>
              <w:left w:val="single" w:sz="4" w:space="0" w:color="auto"/>
              <w:bottom w:val="single" w:sz="4" w:space="0" w:color="auto"/>
              <w:right w:val="single" w:sz="4" w:space="0" w:color="auto"/>
            </w:tcBorders>
          </w:tcPr>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CMF, CEF, CAF, TAC x 6 bei Frauen ≤ 30 Jahre</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AC x 4 bei Frauen ≤ 40 Jahre</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BEACOPP x 6-8 bei Frauen &lt; 25 Jahre</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ABVD x 2-4</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CHOP x 6 bei Frauen &lt; 35 Jahre</w:t>
            </w:r>
          </w:p>
          <w:p w:rsidR="00966720" w:rsidRPr="00966720" w:rsidRDefault="00966720" w:rsidP="009545C7">
            <w:pPr>
              <w:pStyle w:val="Listenabsatz"/>
              <w:numPr>
                <w:ilvl w:val="0"/>
                <w:numId w:val="5"/>
              </w:numPr>
              <w:spacing w:after="0" w:line="240" w:lineRule="auto"/>
              <w:rPr>
                <w:rFonts w:ascii="Arial" w:hAnsi="Arial" w:cs="Arial"/>
                <w:sz w:val="20"/>
                <w:szCs w:val="20"/>
                <w:lang w:val="en-US"/>
              </w:rPr>
            </w:pPr>
            <w:r w:rsidRPr="00966720">
              <w:rPr>
                <w:rFonts w:ascii="Arial" w:hAnsi="Arial" w:cs="Arial"/>
                <w:sz w:val="20"/>
                <w:szCs w:val="20"/>
                <w:lang w:val="en-US"/>
              </w:rPr>
              <w:t>CVP</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AML-typische Therapie (Anthrazyklin/Cytarabin)</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ALL-typische Therapie (multi-agent)</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FOLFOX bei Frauen ≤ 40 Jahre</w:t>
            </w:r>
          </w:p>
          <w:p w:rsidR="00966720" w:rsidRPr="00966720" w:rsidRDefault="00966720" w:rsidP="009545C7">
            <w:pPr>
              <w:pStyle w:val="Listenabsatz"/>
              <w:spacing w:after="0" w:line="240" w:lineRule="auto"/>
              <w:rPr>
                <w:rFonts w:ascii="Arial" w:hAnsi="Arial" w:cs="Arial"/>
                <w:sz w:val="20"/>
                <w:szCs w:val="20"/>
              </w:rPr>
            </w:pPr>
          </w:p>
        </w:tc>
      </w:tr>
      <w:tr w:rsidR="00966720" w:rsidRPr="00966720" w:rsidTr="009545C7">
        <w:tc>
          <w:tcPr>
            <w:tcW w:w="3070" w:type="dxa"/>
            <w:tcBorders>
              <w:right w:val="single" w:sz="4" w:space="0" w:color="auto"/>
            </w:tcBorders>
          </w:tcPr>
          <w:p w:rsidR="00966720" w:rsidRPr="00966720" w:rsidRDefault="00966720" w:rsidP="009545C7">
            <w:pPr>
              <w:rPr>
                <w:rFonts w:ascii="Arial" w:hAnsi="Arial" w:cs="Arial"/>
                <w:b/>
              </w:rPr>
            </w:pPr>
            <w:r w:rsidRPr="00966720">
              <w:rPr>
                <w:rFonts w:ascii="Arial" w:hAnsi="Arial" w:cs="Arial"/>
                <w:b/>
              </w:rPr>
              <w:t>Sehr niedriges oder kein Risiko für eine permanente Amenorrhoe</w:t>
            </w:r>
          </w:p>
        </w:tc>
        <w:tc>
          <w:tcPr>
            <w:tcW w:w="6252" w:type="dxa"/>
            <w:tcBorders>
              <w:top w:val="single" w:sz="4" w:space="0" w:color="auto"/>
              <w:left w:val="single" w:sz="4" w:space="0" w:color="auto"/>
              <w:bottom w:val="single" w:sz="4" w:space="0" w:color="auto"/>
              <w:right w:val="single" w:sz="4" w:space="0" w:color="auto"/>
            </w:tcBorders>
          </w:tcPr>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Methotrexate</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Fluorouracil</w:t>
            </w:r>
          </w:p>
          <w:p w:rsidR="00966720" w:rsidRPr="00966720" w:rsidRDefault="00966720" w:rsidP="009545C7">
            <w:pPr>
              <w:pStyle w:val="Listenabsatz"/>
              <w:numPr>
                <w:ilvl w:val="0"/>
                <w:numId w:val="5"/>
              </w:numPr>
              <w:spacing w:after="0" w:line="240" w:lineRule="auto"/>
              <w:rPr>
                <w:rFonts w:ascii="Arial" w:hAnsi="Arial" w:cs="Arial"/>
                <w:sz w:val="20"/>
                <w:szCs w:val="20"/>
              </w:rPr>
            </w:pPr>
            <w:r w:rsidRPr="00966720">
              <w:rPr>
                <w:rFonts w:ascii="Arial" w:hAnsi="Arial" w:cs="Arial"/>
                <w:sz w:val="20"/>
                <w:szCs w:val="20"/>
              </w:rPr>
              <w:t>Vincristin</w:t>
            </w:r>
          </w:p>
          <w:p w:rsidR="00966720" w:rsidRPr="00966720" w:rsidRDefault="00966720" w:rsidP="009545C7">
            <w:pPr>
              <w:pStyle w:val="Listenabsatz"/>
              <w:spacing w:after="0" w:line="240" w:lineRule="auto"/>
              <w:rPr>
                <w:rFonts w:ascii="Arial" w:hAnsi="Arial" w:cs="Arial"/>
                <w:sz w:val="20"/>
                <w:szCs w:val="20"/>
              </w:rPr>
            </w:pPr>
          </w:p>
        </w:tc>
      </w:tr>
    </w:tbl>
    <w:p w:rsidR="00966720" w:rsidRPr="00966720" w:rsidRDefault="00966720" w:rsidP="00966720">
      <w:pPr>
        <w:ind w:left="705" w:hanging="705"/>
        <w:rPr>
          <w:rFonts w:ascii="Arial" w:hAnsi="Arial" w:cs="Arial"/>
          <w:b/>
        </w:rPr>
      </w:pPr>
    </w:p>
    <w:p w:rsidR="00966720" w:rsidRPr="00966720" w:rsidRDefault="00966720" w:rsidP="00966720">
      <w:pPr>
        <w:rPr>
          <w:rFonts w:ascii="Arial" w:hAnsi="Arial" w:cs="Arial"/>
          <w:b/>
        </w:rPr>
      </w:pPr>
      <w:r w:rsidRPr="00966720">
        <w:rPr>
          <w:rFonts w:ascii="Arial" w:hAnsi="Arial" w:cs="Arial"/>
          <w:b/>
        </w:rPr>
        <w:br w:type="page"/>
      </w:r>
    </w:p>
    <w:p w:rsidR="00966720" w:rsidRDefault="00966720" w:rsidP="00966720">
      <w:pPr>
        <w:rPr>
          <w:rFonts w:ascii="Arial" w:hAnsi="Arial" w:cs="Arial"/>
        </w:rPr>
      </w:pPr>
      <w:r w:rsidRPr="00966720">
        <w:rPr>
          <w:rFonts w:ascii="Arial" w:hAnsi="Arial" w:cs="Arial"/>
          <w:b/>
        </w:rPr>
        <w:lastRenderedPageBreak/>
        <w:t>Tabelle 2: Radiotoxizität und Ovarialinsuffizienz</w:t>
      </w:r>
      <w:r w:rsidRPr="00966720">
        <w:rPr>
          <w:rFonts w:ascii="Arial" w:hAnsi="Arial" w:cs="Arial"/>
        </w:rPr>
        <w:t xml:space="preserve"> (nach Lit. 4)</w:t>
      </w:r>
    </w:p>
    <w:p w:rsidR="00966720" w:rsidRPr="00966720" w:rsidRDefault="00966720" w:rsidP="00966720">
      <w:pPr>
        <w:rPr>
          <w:rFonts w:ascii="Arial" w:hAnsi="Arial" w:cs="Arial"/>
          <w:b/>
          <w:sz w:val="8"/>
          <w:szCs w:val="8"/>
        </w:rPr>
      </w:pPr>
    </w:p>
    <w:tbl>
      <w:tblPr>
        <w:tblStyle w:val="Tabellengitternetz"/>
        <w:tblW w:w="9322" w:type="dxa"/>
        <w:tblLook w:val="04A0"/>
      </w:tblPr>
      <w:tblGrid>
        <w:gridCol w:w="5070"/>
        <w:gridCol w:w="4252"/>
      </w:tblGrid>
      <w:tr w:rsidR="00966720" w:rsidRPr="00966720" w:rsidTr="00966720">
        <w:trPr>
          <w:trHeight w:val="354"/>
        </w:trPr>
        <w:tc>
          <w:tcPr>
            <w:tcW w:w="5070"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Effektive sterilisierende Dosis (ESD)</w:t>
            </w:r>
          </w:p>
        </w:tc>
        <w:tc>
          <w:tcPr>
            <w:tcW w:w="4252" w:type="dxa"/>
            <w:tcBorders>
              <w:bottom w:val="single" w:sz="4" w:space="0" w:color="auto"/>
            </w:tcBorders>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Ovarielle Strahlendosis (Gy)</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b/>
              </w:rPr>
            </w:pPr>
            <w:r w:rsidRPr="00966720">
              <w:rPr>
                <w:rFonts w:ascii="Arial" w:hAnsi="Arial" w:cs="Arial"/>
              </w:rPr>
              <w:t xml:space="preserve">Keine relevanten Effekte </w:t>
            </w:r>
            <w:r w:rsidRPr="00966720">
              <w:rPr>
                <w:rFonts w:ascii="Arial" w:hAnsi="Arial" w:cs="Arial"/>
              </w:rPr>
              <w:tab/>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 xml:space="preserve"> 0,6</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Keine relevanten Effekte &lt;40 Lebensjahre</w:t>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1,5</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0 Jahre</w:t>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20,3</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10 Jahre</w:t>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18,4</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20 Jahre</w:t>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16,5</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30 Jahre</w:t>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14,3</w:t>
            </w:r>
          </w:p>
        </w:tc>
      </w:tr>
      <w:tr w:rsidR="00966720" w:rsidRPr="00966720" w:rsidTr="009545C7">
        <w:trPr>
          <w:trHeight w:val="397"/>
        </w:trPr>
        <w:tc>
          <w:tcPr>
            <w:tcW w:w="5070" w:type="dxa"/>
            <w:tcBorders>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40 Jahre</w:t>
            </w:r>
          </w:p>
        </w:tc>
        <w:tc>
          <w:tcPr>
            <w:tcW w:w="4252" w:type="dxa"/>
            <w:tcBorders>
              <w:top w:val="single" w:sz="4" w:space="0" w:color="auto"/>
              <w:left w:val="single" w:sz="4" w:space="0" w:color="auto"/>
              <w:bottom w:val="single" w:sz="4" w:space="0" w:color="auto"/>
              <w:right w:val="single" w:sz="4" w:space="0" w:color="auto"/>
            </w:tcBorders>
            <w:vAlign w:val="center"/>
          </w:tcPr>
          <w:p w:rsidR="00966720" w:rsidRPr="00966720" w:rsidRDefault="00966720" w:rsidP="009545C7">
            <w:pPr>
              <w:rPr>
                <w:rFonts w:ascii="Arial" w:hAnsi="Arial" w:cs="Arial"/>
              </w:rPr>
            </w:pPr>
            <w:r w:rsidRPr="00966720">
              <w:rPr>
                <w:rFonts w:ascii="Arial" w:hAnsi="Arial" w:cs="Arial"/>
              </w:rPr>
              <w:t>6</w:t>
            </w:r>
          </w:p>
        </w:tc>
      </w:tr>
    </w:tbl>
    <w:p w:rsidR="00966720" w:rsidRPr="00966720" w:rsidRDefault="00966720" w:rsidP="00966720">
      <w:pPr>
        <w:ind w:left="705" w:hanging="705"/>
        <w:rPr>
          <w:rFonts w:ascii="Arial" w:hAnsi="Arial" w:cs="Arial"/>
          <w:b/>
        </w:rPr>
      </w:pPr>
    </w:p>
    <w:p w:rsidR="00966720" w:rsidRPr="00966720" w:rsidRDefault="00966720" w:rsidP="00966720">
      <w:pPr>
        <w:ind w:left="705" w:hanging="705"/>
        <w:rPr>
          <w:rFonts w:ascii="Arial" w:hAnsi="Arial" w:cs="Arial"/>
          <w:b/>
        </w:rPr>
      </w:pPr>
    </w:p>
    <w:p w:rsidR="00966720" w:rsidRDefault="00966720" w:rsidP="00966720">
      <w:pPr>
        <w:ind w:left="705" w:hanging="705"/>
        <w:rPr>
          <w:rFonts w:ascii="Arial" w:hAnsi="Arial" w:cs="Arial"/>
          <w:b/>
        </w:rPr>
      </w:pPr>
      <w:r w:rsidRPr="00966720">
        <w:rPr>
          <w:rFonts w:ascii="Arial" w:hAnsi="Arial" w:cs="Arial"/>
          <w:b/>
        </w:rPr>
        <w:t>Tabelle 3: Steckbriefe der gängigen fertilitätserhaltenden Maßnahmen</w:t>
      </w:r>
    </w:p>
    <w:p w:rsidR="00966720" w:rsidRPr="00966720" w:rsidRDefault="00966720" w:rsidP="00966720">
      <w:pPr>
        <w:ind w:left="705" w:hanging="705"/>
        <w:rPr>
          <w:rFonts w:ascii="Arial" w:hAnsi="Arial" w:cs="Arial"/>
          <w:b/>
          <w:sz w:val="8"/>
          <w:szCs w:val="8"/>
        </w:rPr>
      </w:pPr>
    </w:p>
    <w:tbl>
      <w:tblPr>
        <w:tblStyle w:val="Tabellengitternetz"/>
        <w:tblW w:w="9351" w:type="dxa"/>
        <w:tblLayout w:type="fixed"/>
        <w:tblCellMar>
          <w:left w:w="85" w:type="dxa"/>
          <w:right w:w="85" w:type="dxa"/>
        </w:tblCellMar>
        <w:tblLook w:val="04A0"/>
      </w:tblPr>
      <w:tblGrid>
        <w:gridCol w:w="1809"/>
        <w:gridCol w:w="2519"/>
        <w:gridCol w:w="1734"/>
        <w:gridCol w:w="1394"/>
        <w:gridCol w:w="1895"/>
      </w:tblGrid>
      <w:tr w:rsidR="00966720" w:rsidRPr="00966720" w:rsidTr="001A7F59">
        <w:trPr>
          <w:tblHeader/>
        </w:trPr>
        <w:tc>
          <w:tcPr>
            <w:tcW w:w="1809"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 xml:space="preserve"> Maßnahme</w:t>
            </w:r>
          </w:p>
        </w:tc>
        <w:tc>
          <w:tcPr>
            <w:tcW w:w="2519"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Kurzbeschreibung,</w:t>
            </w:r>
          </w:p>
          <w:p w:rsidR="00966720" w:rsidRPr="00966720" w:rsidRDefault="00966720" w:rsidP="009545C7">
            <w:pPr>
              <w:rPr>
                <w:rFonts w:ascii="Arial" w:hAnsi="Arial" w:cs="Arial"/>
                <w:b/>
              </w:rPr>
            </w:pPr>
            <w:r w:rsidRPr="00966720">
              <w:rPr>
                <w:rFonts w:ascii="Arial" w:hAnsi="Arial" w:cs="Arial"/>
                <w:b/>
              </w:rPr>
              <w:t>Nebenwirkungen</w:t>
            </w:r>
          </w:p>
        </w:tc>
        <w:tc>
          <w:tcPr>
            <w:tcW w:w="1734"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Bereits Standard?</w:t>
            </w:r>
          </w:p>
          <w:p w:rsidR="00966720" w:rsidRPr="00966720" w:rsidRDefault="00966720" w:rsidP="009545C7">
            <w:pPr>
              <w:rPr>
                <w:rFonts w:ascii="Arial" w:hAnsi="Arial" w:cs="Arial"/>
                <w:b/>
              </w:rPr>
            </w:pPr>
            <w:r w:rsidRPr="00966720">
              <w:rPr>
                <w:rFonts w:ascii="Arial" w:hAnsi="Arial" w:cs="Arial"/>
                <w:b/>
              </w:rPr>
              <w:t>Erfolgsrate?</w:t>
            </w:r>
          </w:p>
        </w:tc>
        <w:tc>
          <w:tcPr>
            <w:tcW w:w="1394"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 xml:space="preserve">Zeitlicher </w:t>
            </w:r>
          </w:p>
          <w:p w:rsidR="00966720" w:rsidRPr="00966720" w:rsidRDefault="00966720" w:rsidP="009545C7">
            <w:pPr>
              <w:rPr>
                <w:rFonts w:ascii="Arial" w:hAnsi="Arial" w:cs="Arial"/>
                <w:b/>
              </w:rPr>
            </w:pPr>
            <w:r w:rsidRPr="00966720">
              <w:rPr>
                <w:rFonts w:ascii="Arial" w:hAnsi="Arial" w:cs="Arial"/>
                <w:b/>
              </w:rPr>
              <w:t xml:space="preserve">Aufwand für </w:t>
            </w:r>
          </w:p>
          <w:p w:rsidR="00966720" w:rsidRPr="00966720" w:rsidRDefault="00966720" w:rsidP="009545C7">
            <w:pPr>
              <w:rPr>
                <w:rFonts w:ascii="Arial" w:hAnsi="Arial" w:cs="Arial"/>
                <w:b/>
              </w:rPr>
            </w:pPr>
            <w:r w:rsidRPr="00966720">
              <w:rPr>
                <w:rFonts w:ascii="Arial" w:hAnsi="Arial" w:cs="Arial"/>
                <w:b/>
              </w:rPr>
              <w:t>Patientin</w:t>
            </w:r>
          </w:p>
        </w:tc>
        <w:tc>
          <w:tcPr>
            <w:tcW w:w="1895" w:type="dxa"/>
            <w:shd w:val="clear" w:color="auto" w:fill="D9D9D9" w:themeFill="background1" w:themeFillShade="D9"/>
            <w:vAlign w:val="center"/>
          </w:tcPr>
          <w:p w:rsidR="00966720" w:rsidRPr="00966720" w:rsidRDefault="00966720" w:rsidP="009545C7">
            <w:pPr>
              <w:rPr>
                <w:rFonts w:ascii="Arial" w:hAnsi="Arial" w:cs="Arial"/>
                <w:b/>
              </w:rPr>
            </w:pPr>
            <w:r w:rsidRPr="00966720">
              <w:rPr>
                <w:rFonts w:ascii="Arial" w:hAnsi="Arial" w:cs="Arial"/>
                <w:b/>
              </w:rPr>
              <w:t>Kosten (ca.)</w:t>
            </w:r>
          </w:p>
        </w:tc>
      </w:tr>
      <w:tr w:rsidR="00966720" w:rsidRPr="00966720" w:rsidTr="00966720">
        <w:tc>
          <w:tcPr>
            <w:tcW w:w="1809" w:type="dxa"/>
          </w:tcPr>
          <w:p w:rsidR="00966720" w:rsidRPr="00966720" w:rsidRDefault="00966720" w:rsidP="009545C7">
            <w:pPr>
              <w:rPr>
                <w:rFonts w:ascii="Arial" w:hAnsi="Arial" w:cs="Arial"/>
                <w:b/>
                <w:lang w:val="de-CH"/>
              </w:rPr>
            </w:pPr>
            <w:r w:rsidRPr="00966720">
              <w:rPr>
                <w:rFonts w:ascii="Arial" w:hAnsi="Arial" w:cs="Arial"/>
                <w:b/>
                <w:lang w:val="de-CH"/>
              </w:rPr>
              <w:t>Ovariopexie</w:t>
            </w:r>
          </w:p>
        </w:tc>
        <w:tc>
          <w:tcPr>
            <w:tcW w:w="2519"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lang w:val="de-CH"/>
              </w:rPr>
            </w:pPr>
            <w:r w:rsidRPr="00966720">
              <w:rPr>
                <w:rFonts w:ascii="Arial" w:hAnsi="Arial" w:cs="Arial"/>
                <w:sz w:val="20"/>
                <w:szCs w:val="20"/>
                <w:lang w:val="de-CH"/>
              </w:rPr>
              <w:t xml:space="preserve">Operative Verlagerung der Eierstöcke aus dem Bestrahlungsfeld </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lang w:val="de-CH"/>
              </w:rPr>
            </w:pPr>
            <w:r w:rsidRPr="00966720">
              <w:rPr>
                <w:rFonts w:ascii="Arial" w:hAnsi="Arial" w:cs="Arial"/>
                <w:sz w:val="20"/>
                <w:szCs w:val="20"/>
                <w:lang w:val="de-CH"/>
              </w:rPr>
              <w:t>Risiken: gering (z.B. Ovarzysten, Ischämien) – die onkologische Sicherheit wird nicht wesentlich beeinflusst</w:t>
            </w:r>
          </w:p>
          <w:p w:rsidR="00966720" w:rsidRPr="00966720" w:rsidRDefault="00966720" w:rsidP="009545C7">
            <w:pPr>
              <w:pStyle w:val="Listenabsatz"/>
              <w:spacing w:after="0" w:line="240" w:lineRule="auto"/>
              <w:ind w:left="181"/>
              <w:rPr>
                <w:rFonts w:ascii="Arial" w:hAnsi="Arial" w:cs="Arial"/>
                <w:sz w:val="20"/>
                <w:szCs w:val="20"/>
                <w:lang w:val="de-CH"/>
              </w:rPr>
            </w:pPr>
          </w:p>
        </w:tc>
        <w:tc>
          <w:tcPr>
            <w:tcW w:w="1734" w:type="dxa"/>
          </w:tcPr>
          <w:p w:rsidR="00966720" w:rsidRPr="00966720" w:rsidRDefault="00966720" w:rsidP="009545C7">
            <w:pPr>
              <w:pStyle w:val="Listenabsatz"/>
              <w:numPr>
                <w:ilvl w:val="0"/>
                <w:numId w:val="3"/>
              </w:numPr>
              <w:spacing w:after="0" w:line="240" w:lineRule="auto"/>
              <w:ind w:left="181" w:hanging="181"/>
              <w:jc w:val="both"/>
              <w:rPr>
                <w:rFonts w:ascii="Arial" w:hAnsi="Arial" w:cs="Arial"/>
                <w:sz w:val="20"/>
                <w:szCs w:val="20"/>
              </w:rPr>
            </w:pPr>
            <w:r w:rsidRPr="00966720">
              <w:rPr>
                <w:rFonts w:ascii="Arial" w:hAnsi="Arial" w:cs="Arial"/>
                <w:sz w:val="20"/>
                <w:szCs w:val="20"/>
              </w:rPr>
              <w:t>Etabliert</w:t>
            </w:r>
          </w:p>
          <w:p w:rsidR="00966720" w:rsidRPr="00966720" w:rsidRDefault="005524D6" w:rsidP="009545C7">
            <w:pPr>
              <w:pStyle w:val="Listenabsatz"/>
              <w:numPr>
                <w:ilvl w:val="0"/>
                <w:numId w:val="3"/>
              </w:numPr>
              <w:spacing w:after="0" w:line="240" w:lineRule="auto"/>
              <w:ind w:left="181" w:hanging="181"/>
              <w:rPr>
                <w:rFonts w:ascii="Arial" w:hAnsi="Arial" w:cs="Arial"/>
                <w:sz w:val="20"/>
                <w:szCs w:val="20"/>
              </w:rPr>
            </w:pPr>
            <w:r>
              <w:rPr>
                <w:rFonts w:ascii="Arial" w:hAnsi="Arial" w:cs="Arial"/>
                <w:sz w:val="20"/>
                <w:szCs w:val="20"/>
                <w:lang w:val="de-CH"/>
              </w:rPr>
              <w:t>hohe</w:t>
            </w:r>
            <w:r w:rsidR="00966720" w:rsidRPr="00966720">
              <w:rPr>
                <w:rFonts w:ascii="Arial" w:hAnsi="Arial" w:cs="Arial"/>
                <w:sz w:val="20"/>
                <w:szCs w:val="20"/>
                <w:lang w:val="de-CH"/>
              </w:rPr>
              <w:t xml:space="preserve"> Effektivität zum Erhalt der Eierstocks</w:t>
            </w:r>
            <w:r w:rsidR="00966720">
              <w:rPr>
                <w:rFonts w:ascii="Arial" w:hAnsi="Arial" w:cs="Arial"/>
                <w:sz w:val="20"/>
                <w:szCs w:val="20"/>
                <w:lang w:val="de-CH"/>
              </w:rPr>
              <w:t>-</w:t>
            </w:r>
            <w:r w:rsidR="00966720" w:rsidRPr="00966720">
              <w:rPr>
                <w:rFonts w:ascii="Arial" w:hAnsi="Arial" w:cs="Arial"/>
                <w:sz w:val="20"/>
                <w:szCs w:val="20"/>
                <w:lang w:val="de-CH"/>
              </w:rPr>
              <w:t>funktion (ca. 80%)</w:t>
            </w:r>
          </w:p>
        </w:tc>
        <w:tc>
          <w:tcPr>
            <w:tcW w:w="1394" w:type="dxa"/>
          </w:tcPr>
          <w:p w:rsidR="00966720" w:rsidRPr="00966720" w:rsidRDefault="00966720" w:rsidP="009545C7">
            <w:pPr>
              <w:rPr>
                <w:rFonts w:ascii="Arial" w:hAnsi="Arial" w:cs="Arial"/>
                <w:b/>
              </w:rPr>
            </w:pPr>
            <w:r w:rsidRPr="00966720">
              <w:rPr>
                <w:rFonts w:ascii="Arial" w:hAnsi="Arial" w:cs="Arial"/>
              </w:rPr>
              <w:t>Ca. 2-3 Tage; meist in Kombination mit einer notwendigen onkologischen Operation</w:t>
            </w:r>
          </w:p>
        </w:tc>
        <w:tc>
          <w:tcPr>
            <w:tcW w:w="1895" w:type="dxa"/>
          </w:tcPr>
          <w:p w:rsidR="00966720" w:rsidRPr="00966720" w:rsidRDefault="00966720" w:rsidP="009545C7">
            <w:pPr>
              <w:rPr>
                <w:rFonts w:ascii="Arial" w:hAnsi="Arial" w:cs="Arial"/>
              </w:rPr>
            </w:pPr>
            <w:r w:rsidRPr="00966720">
              <w:rPr>
                <w:rFonts w:ascii="Arial" w:hAnsi="Arial" w:cs="Arial"/>
              </w:rPr>
              <w:t xml:space="preserve">Keine </w:t>
            </w:r>
          </w:p>
          <w:p w:rsidR="00966720" w:rsidRPr="00966720" w:rsidRDefault="00966720" w:rsidP="009545C7">
            <w:pPr>
              <w:rPr>
                <w:rFonts w:ascii="Arial" w:hAnsi="Arial" w:cs="Arial"/>
                <w:b/>
              </w:rPr>
            </w:pPr>
            <w:r w:rsidRPr="00966720">
              <w:rPr>
                <w:rFonts w:ascii="Arial" w:hAnsi="Arial" w:cs="Arial"/>
              </w:rPr>
              <w:t>(Kassenleistung)</w:t>
            </w:r>
          </w:p>
        </w:tc>
      </w:tr>
      <w:tr w:rsidR="00966720" w:rsidRPr="00966720" w:rsidTr="00966720">
        <w:tc>
          <w:tcPr>
            <w:tcW w:w="1809" w:type="dxa"/>
          </w:tcPr>
          <w:p w:rsidR="00966720" w:rsidRPr="00966720" w:rsidRDefault="00966720" w:rsidP="009545C7">
            <w:pPr>
              <w:jc w:val="both"/>
              <w:rPr>
                <w:rFonts w:ascii="Arial" w:hAnsi="Arial" w:cs="Arial"/>
                <w:b/>
                <w:color w:val="000000"/>
                <w:shd w:val="clear" w:color="auto" w:fill="FFFFFF"/>
              </w:rPr>
            </w:pPr>
            <w:r w:rsidRPr="00966720">
              <w:rPr>
                <w:rFonts w:ascii="Arial" w:hAnsi="Arial" w:cs="Arial"/>
                <w:b/>
                <w:color w:val="000000"/>
                <w:shd w:val="clear" w:color="auto" w:fill="FFFFFF"/>
              </w:rPr>
              <w:t>GnRH-Analoga</w:t>
            </w:r>
          </w:p>
        </w:tc>
        <w:tc>
          <w:tcPr>
            <w:tcW w:w="2519"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lang w:val="de-CH"/>
              </w:rPr>
            </w:pPr>
            <w:r w:rsidRPr="00966720">
              <w:rPr>
                <w:rFonts w:ascii="Arial" w:hAnsi="Arial" w:cs="Arial"/>
                <w:sz w:val="20"/>
                <w:szCs w:val="20"/>
                <w:lang w:val="de-CH"/>
              </w:rPr>
              <w:t>Applikation von GnRH-     Agonisten während der Chemotherapie („ruhig stellen der Ovarien“)</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lang w:val="de-CH"/>
              </w:rPr>
            </w:pPr>
            <w:r w:rsidRPr="00966720">
              <w:rPr>
                <w:rFonts w:ascii="Arial" w:hAnsi="Arial" w:cs="Arial"/>
                <w:sz w:val="20"/>
                <w:szCs w:val="20"/>
              </w:rPr>
              <w:t>Mindestalter der Patientin: 12–14 Jahre (Menarche).</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 xml:space="preserve">Risiken: </w:t>
            </w:r>
            <w:r>
              <w:rPr>
                <w:rFonts w:ascii="Arial" w:hAnsi="Arial" w:cs="Arial"/>
                <w:sz w:val="20"/>
                <w:szCs w:val="20"/>
              </w:rPr>
              <w:t>reversible</w:t>
            </w:r>
            <w:r w:rsidRPr="00966720">
              <w:rPr>
                <w:rFonts w:ascii="Arial" w:hAnsi="Arial" w:cs="Arial"/>
                <w:sz w:val="20"/>
                <w:szCs w:val="20"/>
              </w:rPr>
              <w:t xml:space="preserve"> Wechseljahrs-beschwerden (auch unter einer alleinigen Chemotherapie möglich); Reduktion der Knochenmasse bei einer Behandlungsdauer über 6 Monaten.</w:t>
            </w:r>
          </w:p>
          <w:p w:rsidR="00966720" w:rsidRPr="00966720" w:rsidRDefault="00966720" w:rsidP="009545C7">
            <w:pPr>
              <w:pStyle w:val="Listenabsatz"/>
              <w:spacing w:after="0" w:line="240" w:lineRule="auto"/>
              <w:ind w:left="181"/>
              <w:rPr>
                <w:rFonts w:ascii="Arial" w:hAnsi="Arial" w:cs="Arial"/>
                <w:sz w:val="20"/>
                <w:szCs w:val="20"/>
              </w:rPr>
            </w:pPr>
          </w:p>
        </w:tc>
        <w:tc>
          <w:tcPr>
            <w:tcW w:w="1734" w:type="dxa"/>
          </w:tcPr>
          <w:p w:rsidR="00966720" w:rsidRPr="00966720" w:rsidRDefault="00966720" w:rsidP="009545C7">
            <w:pPr>
              <w:pStyle w:val="Listenabsatz"/>
              <w:numPr>
                <w:ilvl w:val="0"/>
                <w:numId w:val="3"/>
              </w:numPr>
              <w:spacing w:after="0" w:line="240" w:lineRule="auto"/>
              <w:ind w:left="181" w:hanging="181"/>
              <w:jc w:val="both"/>
              <w:rPr>
                <w:rFonts w:ascii="Arial" w:hAnsi="Arial" w:cs="Arial"/>
                <w:sz w:val="20"/>
                <w:szCs w:val="20"/>
                <w:lang w:val="de-CH"/>
              </w:rPr>
            </w:pPr>
            <w:r w:rsidRPr="00966720">
              <w:rPr>
                <w:rFonts w:ascii="Arial" w:hAnsi="Arial" w:cs="Arial"/>
                <w:sz w:val="20"/>
                <w:szCs w:val="20"/>
                <w:lang w:val="de-CH"/>
              </w:rPr>
              <w:t>Etabliert</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lang w:val="de-CH"/>
              </w:rPr>
            </w:pPr>
            <w:r w:rsidRPr="00966720">
              <w:rPr>
                <w:rFonts w:ascii="Arial" w:hAnsi="Arial" w:cs="Arial"/>
                <w:sz w:val="20"/>
                <w:szCs w:val="20"/>
              </w:rPr>
              <w:t>Wirksamkeit umstritten</w:t>
            </w:r>
          </w:p>
        </w:tc>
        <w:tc>
          <w:tcPr>
            <w:tcW w:w="1394" w:type="dxa"/>
          </w:tcPr>
          <w:p w:rsidR="00966720" w:rsidRPr="00966720" w:rsidRDefault="00966720" w:rsidP="009545C7">
            <w:pPr>
              <w:rPr>
                <w:rFonts w:ascii="Arial" w:hAnsi="Arial" w:cs="Arial"/>
              </w:rPr>
            </w:pPr>
            <w:r w:rsidRPr="00966720">
              <w:rPr>
                <w:rFonts w:ascii="Arial" w:hAnsi="Arial" w:cs="Arial"/>
              </w:rPr>
              <w:t>Keine</w:t>
            </w:r>
          </w:p>
        </w:tc>
        <w:tc>
          <w:tcPr>
            <w:tcW w:w="1895" w:type="dxa"/>
          </w:tcPr>
          <w:p w:rsidR="00966720" w:rsidRPr="00966720" w:rsidRDefault="00966720" w:rsidP="009545C7">
            <w:pPr>
              <w:rPr>
                <w:rFonts w:ascii="Arial" w:hAnsi="Arial" w:cs="Arial"/>
              </w:rPr>
            </w:pPr>
            <w:r w:rsidRPr="00966720">
              <w:rPr>
                <w:rFonts w:ascii="Arial" w:hAnsi="Arial" w:cs="Arial"/>
              </w:rPr>
              <w:t xml:space="preserve">Keine </w:t>
            </w:r>
          </w:p>
          <w:p w:rsidR="00966720" w:rsidRPr="00966720" w:rsidRDefault="00966720" w:rsidP="009545C7">
            <w:pPr>
              <w:rPr>
                <w:rFonts w:ascii="Arial" w:hAnsi="Arial" w:cs="Arial"/>
                <w:b/>
              </w:rPr>
            </w:pPr>
            <w:r w:rsidRPr="00966720">
              <w:rPr>
                <w:rFonts w:ascii="Arial" w:hAnsi="Arial" w:cs="Arial"/>
              </w:rPr>
              <w:t>(Kassenleistung)</w:t>
            </w:r>
          </w:p>
        </w:tc>
      </w:tr>
      <w:tr w:rsidR="00966720" w:rsidRPr="00966720" w:rsidTr="00966720">
        <w:tc>
          <w:tcPr>
            <w:tcW w:w="1809" w:type="dxa"/>
          </w:tcPr>
          <w:p w:rsidR="00966720" w:rsidRPr="00966720" w:rsidRDefault="00966720" w:rsidP="009545C7">
            <w:pPr>
              <w:rPr>
                <w:rFonts w:ascii="Arial" w:hAnsi="Arial" w:cs="Arial"/>
                <w:b/>
              </w:rPr>
            </w:pPr>
            <w:r>
              <w:rPr>
                <w:rFonts w:ascii="Arial" w:hAnsi="Arial" w:cs="Arial"/>
                <w:b/>
                <w:color w:val="000000"/>
                <w:shd w:val="clear" w:color="auto" w:fill="FFFFFF"/>
              </w:rPr>
              <w:t>Kryo</w:t>
            </w:r>
            <w:r w:rsidRPr="00966720">
              <w:rPr>
                <w:rFonts w:ascii="Arial" w:hAnsi="Arial" w:cs="Arial"/>
                <w:b/>
                <w:color w:val="000000"/>
                <w:shd w:val="clear" w:color="auto" w:fill="FFFFFF"/>
              </w:rPr>
              <w:t>konservie</w:t>
            </w:r>
            <w:r>
              <w:rPr>
                <w:rFonts w:ascii="Arial" w:hAnsi="Arial" w:cs="Arial"/>
                <w:b/>
                <w:color w:val="000000"/>
                <w:shd w:val="clear" w:color="auto" w:fill="FFFFFF"/>
              </w:rPr>
              <w:t>-</w:t>
            </w:r>
            <w:r w:rsidRPr="00966720">
              <w:rPr>
                <w:rFonts w:ascii="Arial" w:hAnsi="Arial" w:cs="Arial"/>
                <w:b/>
                <w:color w:val="000000"/>
                <w:shd w:val="clear" w:color="auto" w:fill="FFFFFF"/>
              </w:rPr>
              <w:t>rung von befruchteten und unbefruchteten Eizellen</w:t>
            </w:r>
          </w:p>
        </w:tc>
        <w:tc>
          <w:tcPr>
            <w:tcW w:w="2519"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Hormonelle Stimulationsbehand</w:t>
            </w:r>
            <w:r>
              <w:rPr>
                <w:rFonts w:ascii="Arial" w:hAnsi="Arial" w:cs="Arial"/>
                <w:sz w:val="20"/>
                <w:szCs w:val="20"/>
              </w:rPr>
              <w:t>-</w:t>
            </w:r>
            <w:r w:rsidRPr="00966720">
              <w:rPr>
                <w:rFonts w:ascii="Arial" w:hAnsi="Arial" w:cs="Arial"/>
                <w:sz w:val="20"/>
                <w:szCs w:val="20"/>
              </w:rPr>
              <w:t>lung der Eierstöcke und die direkte Gewinnung von Eizellen mittels vaginaler ultraschall-gesteuerter Punktion in Narkose.</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 xml:space="preserve">Die gewonnenen Eizellen können </w:t>
            </w:r>
            <w:r w:rsidRPr="00966720">
              <w:rPr>
                <w:rFonts w:ascii="Arial" w:hAnsi="Arial" w:cs="Arial"/>
                <w:sz w:val="20"/>
                <w:szCs w:val="20"/>
              </w:rPr>
              <w:lastRenderedPageBreak/>
              <w:t>entweder befruchtet (extrakorporale Befruchtung) oder unbefruchtet eingefroren werden.</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Nicht geeignet für präpubertäre Mädchen.</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Risiken für eine ovariale Stimulationsbehandlung müssen berücksichtigt werden</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Cave: Hormonabhängige Tumore</w:t>
            </w:r>
          </w:p>
          <w:p w:rsidR="00966720" w:rsidRPr="00966720" w:rsidRDefault="00966720" w:rsidP="009545C7">
            <w:pPr>
              <w:rPr>
                <w:rFonts w:ascii="Arial" w:hAnsi="Arial" w:cs="Arial"/>
              </w:rPr>
            </w:pPr>
          </w:p>
        </w:tc>
        <w:tc>
          <w:tcPr>
            <w:tcW w:w="1734"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lastRenderedPageBreak/>
              <w:t>Etabliert</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Anzahl der zu gewinnenden Eizellen ist abhängig vom Alter und der Eierstock</w:t>
            </w:r>
            <w:r>
              <w:rPr>
                <w:rFonts w:ascii="Arial" w:hAnsi="Arial" w:cs="Arial"/>
                <w:sz w:val="20"/>
                <w:szCs w:val="20"/>
              </w:rPr>
              <w:t>-reser</w:t>
            </w:r>
            <w:r w:rsidRPr="00966720">
              <w:rPr>
                <w:rFonts w:ascii="Arial" w:hAnsi="Arial" w:cs="Arial"/>
                <w:sz w:val="20"/>
                <w:szCs w:val="20"/>
              </w:rPr>
              <w:t>ve der Frau</w:t>
            </w:r>
          </w:p>
        </w:tc>
        <w:tc>
          <w:tcPr>
            <w:tcW w:w="1394" w:type="dxa"/>
          </w:tcPr>
          <w:p w:rsidR="00966720" w:rsidRPr="00966720" w:rsidRDefault="00966720" w:rsidP="009545C7">
            <w:pPr>
              <w:rPr>
                <w:rFonts w:ascii="Arial" w:hAnsi="Arial" w:cs="Arial"/>
              </w:rPr>
            </w:pPr>
            <w:r w:rsidRPr="00966720">
              <w:rPr>
                <w:rFonts w:ascii="Arial" w:hAnsi="Arial" w:cs="Arial"/>
              </w:rPr>
              <w:t>Ca. 2 Wochen</w:t>
            </w:r>
          </w:p>
        </w:tc>
        <w:tc>
          <w:tcPr>
            <w:tcW w:w="1895"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 xml:space="preserve">Medikamente (abhängig von der erforderlichen Dosis &amp; Dauer der Behandlung): </w:t>
            </w:r>
          </w:p>
          <w:p w:rsidR="00966720" w:rsidRPr="00966720" w:rsidRDefault="00966720" w:rsidP="009545C7">
            <w:pPr>
              <w:pStyle w:val="Listenabsatz"/>
              <w:spacing w:after="0" w:line="240" w:lineRule="auto"/>
              <w:ind w:left="181"/>
              <w:rPr>
                <w:rFonts w:ascii="Arial" w:hAnsi="Arial" w:cs="Arial"/>
                <w:sz w:val="20"/>
                <w:szCs w:val="20"/>
              </w:rPr>
            </w:pPr>
            <w:r w:rsidRPr="00966720">
              <w:rPr>
                <w:rFonts w:ascii="Arial" w:hAnsi="Arial" w:cs="Arial"/>
                <w:sz w:val="20"/>
                <w:szCs w:val="20"/>
              </w:rPr>
              <w:t>ca. 1500 bis 2000 €</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Stimulations</w:t>
            </w:r>
            <w:r>
              <w:rPr>
                <w:rFonts w:ascii="Arial" w:hAnsi="Arial" w:cs="Arial"/>
                <w:sz w:val="20"/>
                <w:szCs w:val="20"/>
              </w:rPr>
              <w:t>-</w:t>
            </w:r>
            <w:r w:rsidRPr="00966720">
              <w:rPr>
                <w:rFonts w:ascii="Arial" w:hAnsi="Arial" w:cs="Arial"/>
                <w:sz w:val="20"/>
                <w:szCs w:val="20"/>
              </w:rPr>
              <w:t xml:space="preserve">verfahren </w:t>
            </w:r>
            <w:r w:rsidRPr="00966720">
              <w:rPr>
                <w:rFonts w:ascii="Arial" w:hAnsi="Arial" w:cs="Arial"/>
                <w:sz w:val="20"/>
                <w:szCs w:val="20"/>
              </w:rPr>
              <w:lastRenderedPageBreak/>
              <w:t>(Ultraschall-kontrolle, Eizellentnahme): ca. 1500 bis 2000 €</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Einfrieren und Lagerung für 1 Jahr: ca. 330 €</w:t>
            </w:r>
          </w:p>
          <w:p w:rsidR="00966720" w:rsidRPr="00966720" w:rsidRDefault="00966720" w:rsidP="009545C7">
            <w:pPr>
              <w:pStyle w:val="Listenabsatz"/>
              <w:spacing w:after="0" w:line="240" w:lineRule="auto"/>
              <w:ind w:left="181"/>
              <w:rPr>
                <w:rFonts w:ascii="Arial" w:hAnsi="Arial" w:cs="Arial"/>
                <w:sz w:val="20"/>
                <w:szCs w:val="20"/>
              </w:rPr>
            </w:pPr>
            <w:r w:rsidRPr="00966720">
              <w:rPr>
                <w:rFonts w:ascii="Arial" w:hAnsi="Arial" w:cs="Arial"/>
                <w:sz w:val="20"/>
                <w:szCs w:val="20"/>
              </w:rPr>
              <w:t>(weitere Lagerung pro Jahr ca. 240 €)</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Sollte das Paar verheiratet sein, kann (in Deutschland) kurzfristig ein Krankenkassen</w:t>
            </w:r>
            <w:r w:rsidR="00E47476">
              <w:rPr>
                <w:rFonts w:ascii="Arial" w:hAnsi="Arial" w:cs="Arial"/>
                <w:sz w:val="20"/>
                <w:szCs w:val="20"/>
              </w:rPr>
              <w:t>-</w:t>
            </w:r>
            <w:r w:rsidRPr="00966720">
              <w:rPr>
                <w:rFonts w:ascii="Arial" w:hAnsi="Arial" w:cs="Arial"/>
                <w:sz w:val="20"/>
                <w:szCs w:val="20"/>
              </w:rPr>
              <w:t>antrag ausgestellt werden, so dass die Kosten ganz oder anteilig (je nach Versicherungs</w:t>
            </w:r>
            <w:r w:rsidR="00E47476">
              <w:rPr>
                <w:rFonts w:ascii="Arial" w:hAnsi="Arial" w:cs="Arial"/>
                <w:sz w:val="20"/>
                <w:szCs w:val="20"/>
              </w:rPr>
              <w:t>-</w:t>
            </w:r>
            <w:r w:rsidRPr="00966720">
              <w:rPr>
                <w:rFonts w:ascii="Arial" w:hAnsi="Arial" w:cs="Arial"/>
                <w:sz w:val="20"/>
                <w:szCs w:val="20"/>
              </w:rPr>
              <w:t>status) übernommen werden.</w:t>
            </w:r>
          </w:p>
        </w:tc>
      </w:tr>
      <w:tr w:rsidR="00966720" w:rsidRPr="00966720" w:rsidTr="00966720">
        <w:tc>
          <w:tcPr>
            <w:tcW w:w="1809" w:type="dxa"/>
          </w:tcPr>
          <w:p w:rsidR="00966720" w:rsidRPr="00966720" w:rsidRDefault="00966720" w:rsidP="009545C7">
            <w:pPr>
              <w:rPr>
                <w:rFonts w:ascii="Arial" w:hAnsi="Arial" w:cs="Arial"/>
                <w:b/>
                <w:color w:val="000000"/>
                <w:shd w:val="clear" w:color="auto" w:fill="FFFFFF"/>
              </w:rPr>
            </w:pPr>
            <w:r w:rsidRPr="00966720">
              <w:rPr>
                <w:rFonts w:ascii="Arial" w:hAnsi="Arial" w:cs="Arial"/>
                <w:b/>
                <w:color w:val="000000"/>
                <w:shd w:val="clear" w:color="auto" w:fill="FFFFFF"/>
              </w:rPr>
              <w:lastRenderedPageBreak/>
              <w:t>Kryokonser</w:t>
            </w:r>
            <w:r w:rsidR="00E47476">
              <w:rPr>
                <w:rFonts w:ascii="Arial" w:hAnsi="Arial" w:cs="Arial"/>
                <w:b/>
                <w:color w:val="000000"/>
                <w:shd w:val="clear" w:color="auto" w:fill="FFFFFF"/>
              </w:rPr>
              <w:t>-</w:t>
            </w:r>
            <w:r w:rsidRPr="00966720">
              <w:rPr>
                <w:rFonts w:ascii="Arial" w:hAnsi="Arial" w:cs="Arial"/>
                <w:b/>
                <w:color w:val="000000"/>
                <w:shd w:val="clear" w:color="auto" w:fill="FFFFFF"/>
              </w:rPr>
              <w:t>vierung von Ovarialgewebe</w:t>
            </w:r>
          </w:p>
        </w:tc>
        <w:tc>
          <w:tcPr>
            <w:tcW w:w="2519"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Eierstockgewebe kann vor einer Medikamenten- oder Strahlentherapie entnommen, kryokonserviert (eingefroren) und im Falle eines Funktionsverlustes der Eierstöcke später transplantiert werden, um die Fruchtbarkeit wiederherzustellen.</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Cave: Mögliches Risiko einer Übertragung maligner Zellen bei der Transplantation bei bestimmten Erkrankungen (z.B. Leukämien, Neuroblastom, Burkitt Lymphom, Ovarialtumore)</w:t>
            </w:r>
          </w:p>
          <w:p w:rsidR="00966720" w:rsidRPr="00966720" w:rsidRDefault="00966720" w:rsidP="009545C7">
            <w:pPr>
              <w:rPr>
                <w:rFonts w:ascii="Arial" w:hAnsi="Arial" w:cs="Arial"/>
              </w:rPr>
            </w:pPr>
          </w:p>
        </w:tc>
        <w:tc>
          <w:tcPr>
            <w:tcW w:w="1734"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Etabliert</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Geburtenrate aktuell bei ca. 25-30%</w:t>
            </w:r>
          </w:p>
        </w:tc>
        <w:tc>
          <w:tcPr>
            <w:tcW w:w="1394" w:type="dxa"/>
          </w:tcPr>
          <w:p w:rsidR="00966720" w:rsidRPr="00966720" w:rsidRDefault="00966720" w:rsidP="009545C7">
            <w:pPr>
              <w:rPr>
                <w:rFonts w:ascii="Arial" w:hAnsi="Arial" w:cs="Arial"/>
              </w:rPr>
            </w:pPr>
            <w:r w:rsidRPr="00966720">
              <w:rPr>
                <w:rFonts w:ascii="Arial" w:hAnsi="Arial" w:cs="Arial"/>
              </w:rPr>
              <w:t>Ca. 1-2 Tage</w:t>
            </w:r>
          </w:p>
        </w:tc>
        <w:tc>
          <w:tcPr>
            <w:tcW w:w="1895" w:type="dxa"/>
          </w:tcPr>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Lagerung des Gewebes pro Jahr: ca. 250 €</w:t>
            </w:r>
          </w:p>
          <w:p w:rsidR="00966720" w:rsidRPr="00966720" w:rsidRDefault="00966720" w:rsidP="009545C7">
            <w:pPr>
              <w:pStyle w:val="Listenabsatz"/>
              <w:numPr>
                <w:ilvl w:val="0"/>
                <w:numId w:val="3"/>
              </w:numPr>
              <w:spacing w:after="0" w:line="240" w:lineRule="auto"/>
              <w:ind w:left="181" w:hanging="181"/>
              <w:rPr>
                <w:rFonts w:ascii="Arial" w:hAnsi="Arial" w:cs="Arial"/>
                <w:sz w:val="20"/>
                <w:szCs w:val="20"/>
              </w:rPr>
            </w:pPr>
            <w:r w:rsidRPr="00966720">
              <w:rPr>
                <w:rFonts w:ascii="Arial" w:hAnsi="Arial" w:cs="Arial"/>
                <w:sz w:val="20"/>
                <w:szCs w:val="20"/>
              </w:rPr>
              <w:t>Die Kosten für die Entnahme von Eierstockgewebe und die Transplantation werden in Ausnahmefällen von den Krankenkassen übernommen (ca. 1000 bis 2000 €)</w:t>
            </w:r>
          </w:p>
        </w:tc>
      </w:tr>
    </w:tbl>
    <w:p w:rsidR="00966720" w:rsidRPr="00966720" w:rsidRDefault="00966720" w:rsidP="00966720">
      <w:pPr>
        <w:ind w:left="705" w:hanging="705"/>
        <w:rPr>
          <w:rFonts w:ascii="Arial" w:hAnsi="Arial" w:cs="Arial"/>
          <w:b/>
        </w:rPr>
      </w:pPr>
    </w:p>
    <w:p w:rsidR="003257BB" w:rsidRPr="00163FEC" w:rsidRDefault="00966720" w:rsidP="00966720">
      <w:pPr>
        <w:pStyle w:val="Kopfzeile"/>
        <w:tabs>
          <w:tab w:val="clear" w:pos="4536"/>
          <w:tab w:val="clear" w:pos="9072"/>
        </w:tabs>
        <w:rPr>
          <w:rFonts w:ascii="Arial" w:hAnsi="Arial"/>
        </w:rPr>
      </w:pPr>
      <w:r w:rsidRPr="00966720">
        <w:rPr>
          <w:rFonts w:ascii="Arial" w:hAnsi="Arial" w:cs="Arial"/>
          <w:b/>
        </w:rPr>
        <w:br w:type="page"/>
      </w:r>
    </w:p>
    <w:p w:rsidR="00E47476" w:rsidRDefault="00E47476" w:rsidP="00D92249">
      <w:pPr>
        <w:ind w:left="705" w:hanging="705"/>
        <w:jc w:val="both"/>
        <w:rPr>
          <w:rFonts w:ascii="Arial" w:hAnsi="Arial" w:cs="Arial"/>
          <w:b/>
          <w:sz w:val="24"/>
        </w:rPr>
      </w:pPr>
      <w:r w:rsidRPr="00E47476">
        <w:rPr>
          <w:rFonts w:ascii="Arial" w:hAnsi="Arial" w:cs="Arial"/>
          <w:b/>
          <w:sz w:val="24"/>
        </w:rPr>
        <w:lastRenderedPageBreak/>
        <w:t>Anlage B) Für Männer</w:t>
      </w:r>
    </w:p>
    <w:p w:rsidR="00E47476" w:rsidRPr="00E47476" w:rsidRDefault="00E47476" w:rsidP="00D92249">
      <w:pPr>
        <w:ind w:left="705" w:hanging="705"/>
        <w:jc w:val="both"/>
        <w:rPr>
          <w:rFonts w:ascii="Arial" w:hAnsi="Arial" w:cs="Arial"/>
          <w:b/>
          <w:sz w:val="24"/>
        </w:rPr>
      </w:pPr>
    </w:p>
    <w:p w:rsidR="00E47476" w:rsidRPr="00E47476" w:rsidRDefault="00E47476" w:rsidP="00D92249">
      <w:pPr>
        <w:jc w:val="both"/>
        <w:rPr>
          <w:rFonts w:ascii="Arial" w:hAnsi="Arial" w:cs="Arial"/>
          <w:b/>
        </w:rPr>
      </w:pPr>
      <w:r w:rsidRPr="00E47476">
        <w:rPr>
          <w:rFonts w:ascii="Arial" w:hAnsi="Arial" w:cs="Arial"/>
          <w:b/>
        </w:rPr>
        <w:t>1</w:t>
      </w:r>
      <w:r w:rsidRPr="00E47476">
        <w:rPr>
          <w:rFonts w:ascii="Arial" w:hAnsi="Arial" w:cs="Arial"/>
          <w:b/>
        </w:rPr>
        <w:tab/>
        <w:t>Liste der lokalen Ansprechpartner in den Fortpflanzungszentren:</w:t>
      </w:r>
    </w:p>
    <w:permStart w:id="1" w:edGrp="everyone" w:displacedByCustomXml="next"/>
    <w:sdt>
      <w:sdtPr>
        <w:rPr>
          <w:rFonts w:ascii="Arial" w:hAnsi="Arial" w:cs="Arial"/>
          <w:i/>
          <w:sz w:val="20"/>
        </w:rPr>
        <w:id w:val="21472278"/>
        <w:placeholder>
          <w:docPart w:val="DefaultPlaceholder_22675703"/>
        </w:placeholder>
        <w:temporary/>
        <w:text/>
      </w:sdtPr>
      <w:sdtContent>
        <w:p w:rsidR="00E47476" w:rsidRDefault="00E47476" w:rsidP="00D92249">
          <w:pPr>
            <w:pStyle w:val="Textkrper"/>
            <w:spacing w:line="276" w:lineRule="auto"/>
            <w:ind w:firstLine="705"/>
            <w:rPr>
              <w:rFonts w:ascii="Arial" w:hAnsi="Arial" w:cs="Arial"/>
              <w:i/>
              <w:sz w:val="20"/>
            </w:rPr>
          </w:pPr>
          <w:r w:rsidRPr="00C450A7">
            <w:rPr>
              <w:rFonts w:ascii="Arial" w:hAnsi="Arial" w:cs="Arial"/>
              <w:i/>
              <w:sz w:val="20"/>
            </w:rPr>
            <w:t>Bitte tragen Sie Ihre lokalen Ansprechpartner ein</w:t>
          </w:r>
        </w:p>
      </w:sdtContent>
    </w:sdt>
    <w:permEnd w:id="1" w:displacedByCustomXml="prev"/>
    <w:p w:rsidR="00E47476" w:rsidRPr="00E47476" w:rsidRDefault="00E47476" w:rsidP="00D92249">
      <w:pPr>
        <w:pStyle w:val="Textkrper"/>
        <w:spacing w:line="276" w:lineRule="auto"/>
        <w:ind w:firstLine="705"/>
        <w:rPr>
          <w:rFonts w:ascii="Arial" w:hAnsi="Arial" w:cs="Arial"/>
          <w:i/>
          <w:sz w:val="20"/>
        </w:rPr>
      </w:pPr>
    </w:p>
    <w:p w:rsidR="00E47476" w:rsidRPr="00E47476" w:rsidRDefault="00E47476" w:rsidP="00D92249">
      <w:pPr>
        <w:pStyle w:val="Textkrper"/>
        <w:spacing w:line="276" w:lineRule="auto"/>
        <w:ind w:firstLine="705"/>
        <w:rPr>
          <w:rFonts w:ascii="Arial" w:hAnsi="Arial" w:cs="Arial"/>
          <w:sz w:val="20"/>
        </w:rPr>
      </w:pPr>
      <w:r w:rsidRPr="0080265D">
        <w:rPr>
          <w:rFonts w:ascii="Arial" w:hAnsi="Arial" w:cs="Arial"/>
          <w:sz w:val="20"/>
        </w:rPr>
        <w:t xml:space="preserve">Kooperierende Zentren und Ansprechpartner aus Deutschland, Österreich und der Schweiz </w:t>
      </w:r>
      <w:r w:rsidRPr="0080265D">
        <w:rPr>
          <w:rFonts w:ascii="Arial" w:hAnsi="Arial" w:cs="Arial"/>
          <w:sz w:val="20"/>
        </w:rPr>
        <w:tab/>
        <w:t>finden Sie</w:t>
      </w:r>
      <w:r>
        <w:rPr>
          <w:rFonts w:ascii="Arial" w:hAnsi="Arial" w:cs="Arial"/>
          <w:sz w:val="20"/>
        </w:rPr>
        <w:t xml:space="preserve"> ü</w:t>
      </w:r>
      <w:r w:rsidRPr="00E47476">
        <w:rPr>
          <w:rFonts w:ascii="Arial" w:hAnsi="Arial" w:cs="Arial"/>
          <w:sz w:val="20"/>
        </w:rPr>
        <w:t>ber das Netzwerk Androprotect (</w:t>
      </w:r>
      <w:hyperlink r:id="rId8" w:history="1">
        <w:r w:rsidRPr="00322885">
          <w:rPr>
            <w:rStyle w:val="Hyperlink"/>
            <w:rFonts w:ascii="Arial" w:hAnsi="Arial" w:cs="Arial"/>
            <w:sz w:val="20"/>
          </w:rPr>
          <w:t>https://www.urologenportal.de/patienten.html</w:t>
        </w:r>
      </w:hyperlink>
      <w:r w:rsidRPr="00E47476">
        <w:rPr>
          <w:rFonts w:ascii="Arial" w:hAnsi="Arial" w:cs="Arial"/>
          <w:sz w:val="20"/>
        </w:rPr>
        <w:t>)</w:t>
      </w:r>
    </w:p>
    <w:p w:rsidR="00E47476" w:rsidRPr="00E47476" w:rsidRDefault="00E47476" w:rsidP="00D92249">
      <w:pPr>
        <w:jc w:val="both"/>
        <w:rPr>
          <w:rFonts w:ascii="Arial" w:hAnsi="Arial" w:cs="Arial"/>
        </w:rPr>
      </w:pPr>
    </w:p>
    <w:p w:rsidR="00E47476" w:rsidRPr="00E47476" w:rsidRDefault="00E47476" w:rsidP="00D92249">
      <w:pPr>
        <w:ind w:left="705" w:hanging="705"/>
        <w:jc w:val="both"/>
        <w:rPr>
          <w:rFonts w:ascii="Arial" w:hAnsi="Arial" w:cs="Arial"/>
          <w:b/>
        </w:rPr>
      </w:pPr>
      <w:r w:rsidRPr="00E47476">
        <w:rPr>
          <w:rFonts w:ascii="Arial" w:hAnsi="Arial" w:cs="Arial"/>
          <w:b/>
        </w:rPr>
        <w:t>2</w:t>
      </w:r>
      <w:r w:rsidRPr="00E47476">
        <w:rPr>
          <w:rFonts w:ascii="Arial" w:hAnsi="Arial" w:cs="Arial"/>
          <w:b/>
        </w:rPr>
        <w:tab/>
        <w:t>Beispiele für Risiko der Infertilität nach bestimmten medizinischen Maßnahmen:</w:t>
      </w:r>
    </w:p>
    <w:p w:rsidR="00D92249" w:rsidRPr="00D92249" w:rsidRDefault="00D92249" w:rsidP="00D92249">
      <w:pPr>
        <w:ind w:left="705" w:hanging="705"/>
        <w:jc w:val="both"/>
        <w:rPr>
          <w:rFonts w:ascii="Arial" w:hAnsi="Arial" w:cs="Arial"/>
        </w:rPr>
      </w:pPr>
      <w:r>
        <w:rPr>
          <w:rFonts w:ascii="Arial" w:hAnsi="Arial" w:cs="Arial"/>
        </w:rPr>
        <w:tab/>
      </w:r>
      <w:r w:rsidRPr="00D92249">
        <w:rPr>
          <w:rFonts w:ascii="Arial" w:hAnsi="Arial" w:cs="Arial"/>
        </w:rPr>
        <w:t xml:space="preserve">Allgemeines: </w:t>
      </w:r>
    </w:p>
    <w:p w:rsidR="00D92249" w:rsidRPr="00D92249" w:rsidRDefault="00D92249" w:rsidP="00D92249">
      <w:pPr>
        <w:ind w:left="705" w:hanging="705"/>
        <w:jc w:val="both"/>
        <w:rPr>
          <w:rFonts w:ascii="Arial" w:hAnsi="Arial" w:cs="Arial"/>
        </w:rPr>
      </w:pPr>
      <w:r>
        <w:rPr>
          <w:rFonts w:ascii="Arial" w:hAnsi="Arial" w:cs="Arial"/>
        </w:rPr>
        <w:tab/>
      </w:r>
      <w:r w:rsidRPr="00D92249">
        <w:rPr>
          <w:rFonts w:ascii="Arial" w:hAnsi="Arial" w:cs="Arial"/>
        </w:rPr>
        <w:t xml:space="preserve">In Abhängigkeit von Art der Applikation, Dosis, Kombination mit anderen Pharmaka und Intervall ist eine sichere Vorhersage über den Erhalt der Fertilität nicht immer möglich. </w:t>
      </w:r>
    </w:p>
    <w:p w:rsidR="00E47476" w:rsidRDefault="00D92249" w:rsidP="00D92249">
      <w:pPr>
        <w:ind w:left="705" w:hanging="705"/>
        <w:jc w:val="both"/>
        <w:rPr>
          <w:rFonts w:ascii="Arial" w:hAnsi="Arial" w:cs="Arial"/>
        </w:rPr>
      </w:pPr>
      <w:r>
        <w:rPr>
          <w:rFonts w:ascii="Arial" w:hAnsi="Arial" w:cs="Arial"/>
        </w:rPr>
        <w:tab/>
      </w:r>
      <w:r w:rsidRPr="00D92249">
        <w:rPr>
          <w:rFonts w:ascii="Arial" w:hAnsi="Arial" w:cs="Arial"/>
        </w:rPr>
        <w:t>Die Effekte moderner Tumortherapeutika und Biologicals / Biosimilars auf die</w:t>
      </w:r>
      <w:r>
        <w:rPr>
          <w:rFonts w:ascii="Arial" w:hAnsi="Arial" w:cs="Arial"/>
        </w:rPr>
        <w:t xml:space="preserve"> Fertilität sind nicht immer be</w:t>
      </w:r>
      <w:r w:rsidRPr="00D92249">
        <w:rPr>
          <w:rFonts w:ascii="Arial" w:hAnsi="Arial" w:cs="Arial"/>
        </w:rPr>
        <w:t>kannt.</w:t>
      </w:r>
    </w:p>
    <w:p w:rsidR="00D92249" w:rsidRPr="00D92249" w:rsidRDefault="00D92249" w:rsidP="00D92249">
      <w:pPr>
        <w:ind w:left="705" w:hanging="705"/>
        <w:jc w:val="both"/>
        <w:rPr>
          <w:rFonts w:ascii="Arial" w:hAnsi="Arial" w:cs="Arial"/>
        </w:rPr>
      </w:pPr>
    </w:p>
    <w:p w:rsidR="00E47476" w:rsidRPr="00E47476" w:rsidRDefault="00E47476" w:rsidP="00E47476">
      <w:pPr>
        <w:ind w:left="705" w:hanging="705"/>
        <w:rPr>
          <w:rFonts w:ascii="Arial" w:hAnsi="Arial" w:cs="Arial"/>
          <w:b/>
        </w:rPr>
      </w:pPr>
    </w:p>
    <w:p w:rsidR="0018219B" w:rsidRDefault="00E47476" w:rsidP="00E47476">
      <w:pPr>
        <w:ind w:left="993" w:hanging="993"/>
        <w:rPr>
          <w:rFonts w:ascii="Arial" w:hAnsi="Arial" w:cs="Arial"/>
        </w:rPr>
      </w:pPr>
      <w:r w:rsidRPr="00E47476">
        <w:rPr>
          <w:rFonts w:ascii="Arial" w:hAnsi="Arial" w:cs="Arial"/>
          <w:b/>
        </w:rPr>
        <w:t xml:space="preserve">Tabelle 1: </w:t>
      </w:r>
      <w:r w:rsidR="0018219B" w:rsidRPr="00E47476">
        <w:rPr>
          <w:rFonts w:ascii="Arial" w:hAnsi="Arial" w:cs="Arial"/>
          <w:b/>
        </w:rPr>
        <w:t>Radiotoxizität und Spermienproduktion</w:t>
      </w:r>
      <w:r w:rsidR="0018219B">
        <w:rPr>
          <w:rFonts w:ascii="Arial" w:hAnsi="Arial" w:cs="Arial"/>
          <w:b/>
        </w:rPr>
        <w:t xml:space="preserve"> bei Monotherapie</w:t>
      </w:r>
      <w:r w:rsidR="0018219B" w:rsidRPr="00E47476">
        <w:rPr>
          <w:rFonts w:ascii="Arial" w:hAnsi="Arial" w:cs="Arial"/>
        </w:rPr>
        <w:t xml:space="preserve"> (nach Lit.)</w:t>
      </w:r>
    </w:p>
    <w:p w:rsidR="0018219B" w:rsidRPr="0018219B" w:rsidRDefault="0018219B" w:rsidP="00E47476">
      <w:pPr>
        <w:ind w:left="993" w:hanging="993"/>
        <w:rPr>
          <w:rFonts w:ascii="Arial" w:hAnsi="Arial" w:cs="Arial"/>
          <w:sz w:val="8"/>
          <w:szCs w:val="8"/>
        </w:rPr>
      </w:pPr>
    </w:p>
    <w:tbl>
      <w:tblPr>
        <w:tblStyle w:val="Tabellenraster1"/>
        <w:tblW w:w="9322" w:type="dxa"/>
        <w:tblCellMar>
          <w:top w:w="57" w:type="dxa"/>
          <w:bottom w:w="57" w:type="dxa"/>
        </w:tblCellMar>
        <w:tblLook w:val="04A0"/>
      </w:tblPr>
      <w:tblGrid>
        <w:gridCol w:w="2802"/>
        <w:gridCol w:w="2693"/>
        <w:gridCol w:w="3827"/>
      </w:tblGrid>
      <w:tr w:rsidR="0018219B" w:rsidRPr="00E47476" w:rsidTr="009E6422">
        <w:trPr>
          <w:trHeight w:val="430"/>
        </w:trPr>
        <w:tc>
          <w:tcPr>
            <w:tcW w:w="2802" w:type="dxa"/>
            <w:shd w:val="clear" w:color="auto" w:fill="D9D9D9" w:themeFill="background1" w:themeFillShade="D9"/>
            <w:vAlign w:val="center"/>
          </w:tcPr>
          <w:p w:rsidR="0018219B" w:rsidRPr="00E47476" w:rsidRDefault="0018219B" w:rsidP="0018219B">
            <w:pPr>
              <w:rPr>
                <w:rFonts w:ascii="Arial" w:hAnsi="Arial" w:cs="Arial"/>
                <w:b/>
              </w:rPr>
            </w:pPr>
            <w:r>
              <w:rPr>
                <w:rFonts w:ascii="Arial" w:hAnsi="Arial" w:cs="Arial"/>
                <w:b/>
              </w:rPr>
              <w:t>Dosis (Gy)</w:t>
            </w:r>
          </w:p>
        </w:tc>
        <w:tc>
          <w:tcPr>
            <w:tcW w:w="2693" w:type="dxa"/>
            <w:shd w:val="clear" w:color="auto" w:fill="D9D9D9" w:themeFill="background1" w:themeFillShade="D9"/>
            <w:vAlign w:val="center"/>
          </w:tcPr>
          <w:p w:rsidR="0018219B" w:rsidRPr="0018219B" w:rsidRDefault="0018219B" w:rsidP="00F707C8">
            <w:pPr>
              <w:rPr>
                <w:rFonts w:ascii="Arial" w:hAnsi="Arial" w:cs="Arial"/>
                <w:b/>
              </w:rPr>
            </w:pPr>
            <w:r>
              <w:rPr>
                <w:rFonts w:ascii="Arial" w:hAnsi="Arial" w:cs="Arial"/>
                <w:b/>
              </w:rPr>
              <w:t>Effekt</w:t>
            </w:r>
          </w:p>
        </w:tc>
        <w:tc>
          <w:tcPr>
            <w:tcW w:w="3827" w:type="dxa"/>
            <w:shd w:val="clear" w:color="auto" w:fill="D9D9D9" w:themeFill="background1" w:themeFillShade="D9"/>
            <w:vAlign w:val="center"/>
          </w:tcPr>
          <w:p w:rsidR="0018219B" w:rsidRPr="0018219B" w:rsidRDefault="0018219B" w:rsidP="00F707C8">
            <w:pPr>
              <w:rPr>
                <w:rFonts w:ascii="Arial" w:hAnsi="Arial" w:cs="Arial"/>
                <w:b/>
              </w:rPr>
            </w:pPr>
            <w:r w:rsidRPr="0018219B">
              <w:rPr>
                <w:rFonts w:ascii="Arial" w:hAnsi="Arial" w:cs="Arial"/>
                <w:b/>
              </w:rPr>
              <w:t>Reversibilität</w:t>
            </w:r>
          </w:p>
        </w:tc>
      </w:tr>
      <w:tr w:rsidR="0018219B" w:rsidRPr="00E47476" w:rsidTr="009E6422">
        <w:tc>
          <w:tcPr>
            <w:tcW w:w="2802" w:type="dxa"/>
          </w:tcPr>
          <w:p w:rsidR="0018219B" w:rsidRPr="00F707C8" w:rsidRDefault="00F707C8" w:rsidP="00F707C8">
            <w:pPr>
              <w:rPr>
                <w:rFonts w:ascii="Arial" w:hAnsi="Arial" w:cs="Arial"/>
              </w:rPr>
            </w:pPr>
            <w:r w:rsidRPr="00F707C8">
              <w:rPr>
                <w:rFonts w:ascii="Arial" w:hAnsi="Arial" w:cs="Arial"/>
              </w:rPr>
              <w:t>0,2</w:t>
            </w:r>
            <w:r>
              <w:rPr>
                <w:rFonts w:ascii="Arial" w:hAnsi="Arial" w:cs="Arial"/>
              </w:rPr>
              <w:t xml:space="preserve"> - 0,8</w:t>
            </w:r>
          </w:p>
        </w:tc>
        <w:tc>
          <w:tcPr>
            <w:tcW w:w="2693" w:type="dxa"/>
          </w:tcPr>
          <w:p w:rsidR="0018219B" w:rsidRPr="0018219B" w:rsidRDefault="00F707C8" w:rsidP="00F707C8">
            <w:pPr>
              <w:rPr>
                <w:rFonts w:ascii="Arial" w:hAnsi="Arial" w:cs="Arial"/>
                <w:b/>
              </w:rPr>
            </w:pPr>
            <w:r w:rsidRPr="00E47476">
              <w:rPr>
                <w:rFonts w:ascii="Arial" w:hAnsi="Arial" w:cs="Arial"/>
              </w:rPr>
              <w:t>Azoospermie</w:t>
            </w:r>
          </w:p>
        </w:tc>
        <w:tc>
          <w:tcPr>
            <w:tcW w:w="3827" w:type="dxa"/>
          </w:tcPr>
          <w:p w:rsidR="0018219B" w:rsidRPr="0018219B" w:rsidRDefault="00F707C8" w:rsidP="00F707C8">
            <w:pPr>
              <w:rPr>
                <w:rFonts w:ascii="Arial" w:hAnsi="Arial" w:cs="Arial"/>
              </w:rPr>
            </w:pPr>
            <w:r>
              <w:rPr>
                <w:rFonts w:ascii="Arial" w:hAnsi="Arial" w:cs="Arial"/>
              </w:rPr>
              <w:t>ja</w:t>
            </w:r>
          </w:p>
        </w:tc>
      </w:tr>
      <w:tr w:rsidR="0018219B" w:rsidRPr="00E47476" w:rsidTr="009E6422">
        <w:tc>
          <w:tcPr>
            <w:tcW w:w="2802" w:type="dxa"/>
          </w:tcPr>
          <w:p w:rsidR="0018219B" w:rsidRPr="00F707C8" w:rsidRDefault="00F707C8" w:rsidP="00713DDE">
            <w:pPr>
              <w:rPr>
                <w:rFonts w:ascii="Arial" w:hAnsi="Arial" w:cs="Arial"/>
              </w:rPr>
            </w:pPr>
            <w:r>
              <w:rPr>
                <w:rFonts w:ascii="Arial" w:hAnsi="Arial" w:cs="Arial"/>
              </w:rPr>
              <w:t>0,8 - 1,0</w:t>
            </w:r>
          </w:p>
        </w:tc>
        <w:tc>
          <w:tcPr>
            <w:tcW w:w="2693" w:type="dxa"/>
          </w:tcPr>
          <w:p w:rsidR="0018219B" w:rsidRPr="0018219B" w:rsidRDefault="00F707C8" w:rsidP="00F707C8">
            <w:pPr>
              <w:rPr>
                <w:rFonts w:ascii="Arial" w:hAnsi="Arial" w:cs="Arial"/>
              </w:rPr>
            </w:pPr>
            <w:r w:rsidRPr="00E47476">
              <w:rPr>
                <w:rFonts w:ascii="Arial" w:hAnsi="Arial" w:cs="Arial"/>
              </w:rPr>
              <w:t>Azoospermie</w:t>
            </w:r>
          </w:p>
        </w:tc>
        <w:tc>
          <w:tcPr>
            <w:tcW w:w="3827" w:type="dxa"/>
          </w:tcPr>
          <w:p w:rsidR="0018219B" w:rsidRPr="0018219B" w:rsidRDefault="00F707C8" w:rsidP="00F707C8">
            <w:pPr>
              <w:rPr>
                <w:rFonts w:ascii="Arial" w:hAnsi="Arial" w:cs="Arial"/>
              </w:rPr>
            </w:pPr>
            <w:r>
              <w:rPr>
                <w:rFonts w:ascii="Arial" w:hAnsi="Arial" w:cs="Arial"/>
              </w:rPr>
              <w:t>meist</w:t>
            </w:r>
          </w:p>
        </w:tc>
      </w:tr>
      <w:tr w:rsidR="0018219B" w:rsidRPr="00E47476" w:rsidTr="009E6422">
        <w:trPr>
          <w:trHeight w:val="99"/>
        </w:trPr>
        <w:tc>
          <w:tcPr>
            <w:tcW w:w="2802" w:type="dxa"/>
          </w:tcPr>
          <w:p w:rsidR="0018219B" w:rsidRPr="00F707C8" w:rsidRDefault="00F707C8" w:rsidP="00713DDE">
            <w:pPr>
              <w:rPr>
                <w:rFonts w:ascii="Arial" w:hAnsi="Arial" w:cs="Arial"/>
              </w:rPr>
            </w:pPr>
            <w:r>
              <w:rPr>
                <w:rFonts w:ascii="Arial" w:hAnsi="Arial" w:cs="Arial"/>
              </w:rPr>
              <w:t>1,0 - 3</w:t>
            </w:r>
            <w:r w:rsidR="000D097F">
              <w:rPr>
                <w:rFonts w:ascii="Arial" w:hAnsi="Arial" w:cs="Arial"/>
              </w:rPr>
              <w:t>,</w:t>
            </w:r>
            <w:r>
              <w:rPr>
                <w:rFonts w:ascii="Arial" w:hAnsi="Arial" w:cs="Arial"/>
              </w:rPr>
              <w:t>0</w:t>
            </w:r>
          </w:p>
        </w:tc>
        <w:tc>
          <w:tcPr>
            <w:tcW w:w="2693" w:type="dxa"/>
          </w:tcPr>
          <w:p w:rsidR="0018219B" w:rsidRPr="0018219B" w:rsidRDefault="00F707C8" w:rsidP="00F707C8">
            <w:pPr>
              <w:rPr>
                <w:rFonts w:ascii="Arial" w:hAnsi="Arial" w:cs="Arial"/>
              </w:rPr>
            </w:pPr>
            <w:r w:rsidRPr="00E47476">
              <w:rPr>
                <w:rFonts w:ascii="Arial" w:hAnsi="Arial" w:cs="Arial"/>
              </w:rPr>
              <w:t>Azoospermie</w:t>
            </w:r>
          </w:p>
        </w:tc>
        <w:tc>
          <w:tcPr>
            <w:tcW w:w="3827" w:type="dxa"/>
          </w:tcPr>
          <w:p w:rsidR="0018219B" w:rsidRPr="0018219B" w:rsidRDefault="00F707C8" w:rsidP="00F707C8">
            <w:pPr>
              <w:rPr>
                <w:rFonts w:ascii="Arial" w:hAnsi="Arial" w:cs="Arial"/>
              </w:rPr>
            </w:pPr>
            <w:r>
              <w:rPr>
                <w:rFonts w:ascii="Arial" w:hAnsi="Arial" w:cs="Arial"/>
              </w:rPr>
              <w:t>nicht immer permanent</w:t>
            </w:r>
          </w:p>
        </w:tc>
      </w:tr>
      <w:tr w:rsidR="0018219B" w:rsidRPr="00E47476" w:rsidTr="009E6422">
        <w:trPr>
          <w:trHeight w:val="63"/>
        </w:trPr>
        <w:tc>
          <w:tcPr>
            <w:tcW w:w="2802" w:type="dxa"/>
          </w:tcPr>
          <w:p w:rsidR="0018219B" w:rsidRPr="00F707C8" w:rsidRDefault="00F707C8" w:rsidP="00713DDE">
            <w:pPr>
              <w:rPr>
                <w:rFonts w:ascii="Arial" w:hAnsi="Arial" w:cs="Arial"/>
              </w:rPr>
            </w:pPr>
            <w:r>
              <w:rPr>
                <w:rFonts w:ascii="Arial" w:hAnsi="Arial" w:cs="Arial"/>
              </w:rPr>
              <w:t>&gt; 3,0</w:t>
            </w:r>
          </w:p>
        </w:tc>
        <w:tc>
          <w:tcPr>
            <w:tcW w:w="2693" w:type="dxa"/>
            <w:tcBorders>
              <w:bottom w:val="single" w:sz="4" w:space="0" w:color="auto"/>
            </w:tcBorders>
          </w:tcPr>
          <w:p w:rsidR="0018219B" w:rsidRPr="0018219B" w:rsidRDefault="00F707C8" w:rsidP="00F707C8">
            <w:pPr>
              <w:rPr>
                <w:rFonts w:ascii="Arial" w:hAnsi="Arial" w:cs="Arial"/>
              </w:rPr>
            </w:pPr>
            <w:r w:rsidRPr="00E47476">
              <w:rPr>
                <w:rFonts w:ascii="Arial" w:hAnsi="Arial" w:cs="Arial"/>
              </w:rPr>
              <w:t>Azoospermie</w:t>
            </w:r>
          </w:p>
        </w:tc>
        <w:tc>
          <w:tcPr>
            <w:tcW w:w="3827" w:type="dxa"/>
            <w:tcBorders>
              <w:bottom w:val="single" w:sz="4" w:space="0" w:color="auto"/>
            </w:tcBorders>
          </w:tcPr>
          <w:p w:rsidR="0018219B" w:rsidRPr="0018219B" w:rsidRDefault="00F707C8" w:rsidP="00F707C8">
            <w:pPr>
              <w:rPr>
                <w:rFonts w:ascii="Arial" w:hAnsi="Arial" w:cs="Arial"/>
              </w:rPr>
            </w:pPr>
            <w:r>
              <w:rPr>
                <w:rFonts w:ascii="Arial" w:hAnsi="Arial" w:cs="Arial"/>
              </w:rPr>
              <w:t>permanent</w:t>
            </w:r>
          </w:p>
        </w:tc>
      </w:tr>
    </w:tbl>
    <w:p w:rsidR="00F707C8" w:rsidRPr="00F707C8" w:rsidRDefault="00F707C8" w:rsidP="00E47476">
      <w:pPr>
        <w:ind w:left="993" w:hanging="993"/>
        <w:rPr>
          <w:rFonts w:ascii="Arial" w:hAnsi="Arial" w:cs="Arial"/>
          <w:sz w:val="8"/>
          <w:szCs w:val="8"/>
        </w:rPr>
      </w:pPr>
    </w:p>
    <w:p w:rsidR="0018219B" w:rsidRDefault="00F707C8" w:rsidP="00E47476">
      <w:pPr>
        <w:ind w:left="993" w:hanging="993"/>
        <w:rPr>
          <w:rFonts w:ascii="Arial" w:hAnsi="Arial" w:cs="Arial"/>
        </w:rPr>
      </w:pPr>
      <w:r w:rsidRPr="00F707C8">
        <w:rPr>
          <w:rFonts w:ascii="Arial" w:hAnsi="Arial" w:cs="Arial"/>
          <w:u w:val="single"/>
        </w:rPr>
        <w:t>Merke:</w:t>
      </w:r>
      <w:r w:rsidRPr="00F707C8">
        <w:rPr>
          <w:rFonts w:ascii="Arial" w:hAnsi="Arial" w:cs="Arial"/>
        </w:rPr>
        <w:t xml:space="preserve"> fraktionierte Bestrahlung: stärkerer Effekt</w:t>
      </w:r>
    </w:p>
    <w:p w:rsidR="0018219B" w:rsidRDefault="0018219B" w:rsidP="00E47476">
      <w:pPr>
        <w:ind w:left="993" w:hanging="993"/>
        <w:rPr>
          <w:rFonts w:ascii="Arial" w:hAnsi="Arial" w:cs="Arial"/>
        </w:rPr>
      </w:pPr>
    </w:p>
    <w:p w:rsidR="0018219B" w:rsidRDefault="0018219B" w:rsidP="00E47476">
      <w:pPr>
        <w:ind w:left="993" w:hanging="993"/>
        <w:rPr>
          <w:rFonts w:ascii="Arial" w:hAnsi="Arial" w:cs="Arial"/>
        </w:rPr>
      </w:pPr>
    </w:p>
    <w:p w:rsidR="00F707C8" w:rsidRDefault="00F707C8" w:rsidP="00F707C8">
      <w:pPr>
        <w:rPr>
          <w:rFonts w:ascii="Arial" w:hAnsi="Arial" w:cs="Arial"/>
          <w:b/>
        </w:rPr>
      </w:pPr>
      <w:r w:rsidRPr="00E47476">
        <w:rPr>
          <w:rFonts w:ascii="Arial" w:hAnsi="Arial" w:cs="Arial"/>
          <w:b/>
        </w:rPr>
        <w:t xml:space="preserve">Tabelle 2: </w:t>
      </w:r>
      <w:r>
        <w:rPr>
          <w:rFonts w:ascii="Arial" w:hAnsi="Arial" w:cs="Arial"/>
          <w:b/>
        </w:rPr>
        <w:t xml:space="preserve">Ausgewählte </w:t>
      </w:r>
      <w:r w:rsidR="00E47476" w:rsidRPr="00E47476">
        <w:rPr>
          <w:rFonts w:ascii="Arial" w:hAnsi="Arial" w:cs="Arial"/>
          <w:b/>
        </w:rPr>
        <w:t>Zytostatika</w:t>
      </w:r>
      <w:r>
        <w:rPr>
          <w:rFonts w:ascii="Arial" w:hAnsi="Arial" w:cs="Arial"/>
          <w:b/>
        </w:rPr>
        <w:t xml:space="preserve">: </w:t>
      </w:r>
    </w:p>
    <w:p w:rsidR="00E47476" w:rsidRDefault="00F707C8" w:rsidP="00F707C8">
      <w:pPr>
        <w:rPr>
          <w:rFonts w:ascii="Arial" w:hAnsi="Arial" w:cs="Arial"/>
        </w:rPr>
      </w:pPr>
      <w:r>
        <w:rPr>
          <w:rFonts w:ascii="Arial" w:hAnsi="Arial" w:cs="Arial"/>
          <w:b/>
        </w:rPr>
        <w:t>Induktion einer permanenten/reversiblen</w:t>
      </w:r>
      <w:r w:rsidR="00E47476" w:rsidRPr="00E47476">
        <w:rPr>
          <w:rFonts w:ascii="Arial" w:hAnsi="Arial" w:cs="Arial"/>
          <w:b/>
        </w:rPr>
        <w:t xml:space="preserve"> Azoospermie oder </w:t>
      </w:r>
      <w:r>
        <w:rPr>
          <w:rFonts w:ascii="Arial" w:hAnsi="Arial" w:cs="Arial"/>
          <w:b/>
        </w:rPr>
        <w:t>Subfertilität</w:t>
      </w:r>
      <w:r w:rsidR="00E47476" w:rsidRPr="00E47476">
        <w:rPr>
          <w:rFonts w:ascii="Arial" w:hAnsi="Arial" w:cs="Arial"/>
          <w:b/>
        </w:rPr>
        <w:t xml:space="preserve"> </w:t>
      </w:r>
      <w:r w:rsidR="00E47476" w:rsidRPr="00E47476">
        <w:rPr>
          <w:rFonts w:ascii="Arial" w:hAnsi="Arial" w:cs="Arial"/>
        </w:rPr>
        <w:t>(nach Lit. 5 und 6)</w:t>
      </w:r>
    </w:p>
    <w:p w:rsidR="00E47476" w:rsidRPr="00E47476" w:rsidRDefault="00E47476" w:rsidP="00E47476">
      <w:pPr>
        <w:ind w:left="993" w:hanging="993"/>
        <w:rPr>
          <w:rFonts w:ascii="Arial" w:hAnsi="Arial" w:cs="Arial"/>
          <w:sz w:val="8"/>
          <w:szCs w:val="8"/>
        </w:rPr>
      </w:pPr>
    </w:p>
    <w:tbl>
      <w:tblPr>
        <w:tblStyle w:val="Tabellengitternetz"/>
        <w:tblW w:w="0" w:type="auto"/>
        <w:tblLook w:val="04A0"/>
      </w:tblPr>
      <w:tblGrid>
        <w:gridCol w:w="1398"/>
        <w:gridCol w:w="1398"/>
        <w:gridCol w:w="2724"/>
        <w:gridCol w:w="1909"/>
        <w:gridCol w:w="1859"/>
      </w:tblGrid>
      <w:tr w:rsidR="00F707C8" w:rsidRPr="00E47476" w:rsidTr="002D2E52">
        <w:trPr>
          <w:trHeight w:val="361"/>
          <w:tblHeader/>
        </w:trPr>
        <w:tc>
          <w:tcPr>
            <w:tcW w:w="2796" w:type="dxa"/>
            <w:gridSpan w:val="2"/>
            <w:shd w:val="clear" w:color="auto" w:fill="D9D9D9" w:themeFill="background1" w:themeFillShade="D9"/>
            <w:vAlign w:val="center"/>
          </w:tcPr>
          <w:p w:rsidR="00F707C8" w:rsidRPr="00E47476" w:rsidRDefault="00F707C8" w:rsidP="002D2E52">
            <w:pPr>
              <w:rPr>
                <w:rFonts w:ascii="Arial" w:hAnsi="Arial" w:cs="Arial"/>
                <w:b/>
              </w:rPr>
            </w:pPr>
            <w:r w:rsidRPr="00E47476">
              <w:rPr>
                <w:rFonts w:ascii="Arial" w:hAnsi="Arial" w:cs="Arial"/>
                <w:b/>
              </w:rPr>
              <w:t>Effekt</w:t>
            </w:r>
            <w:r>
              <w:rPr>
                <w:rFonts w:ascii="Arial" w:hAnsi="Arial" w:cs="Arial"/>
                <w:b/>
              </w:rPr>
              <w:t xml:space="preserve"> / Pharmakon</w:t>
            </w:r>
          </w:p>
        </w:tc>
        <w:tc>
          <w:tcPr>
            <w:tcW w:w="2724" w:type="dxa"/>
            <w:shd w:val="clear" w:color="auto" w:fill="D9D9D9" w:themeFill="background1" w:themeFillShade="D9"/>
            <w:vAlign w:val="center"/>
          </w:tcPr>
          <w:p w:rsidR="00F707C8" w:rsidRPr="00E47476" w:rsidRDefault="00F707C8" w:rsidP="002D2E52">
            <w:pPr>
              <w:rPr>
                <w:rFonts w:ascii="Arial" w:hAnsi="Arial" w:cs="Arial"/>
                <w:b/>
              </w:rPr>
            </w:pPr>
            <w:r>
              <w:rPr>
                <w:rFonts w:ascii="Arial" w:hAnsi="Arial" w:cs="Arial"/>
                <w:b/>
              </w:rPr>
              <w:t>Dosis</w:t>
            </w:r>
          </w:p>
        </w:tc>
        <w:tc>
          <w:tcPr>
            <w:tcW w:w="1909" w:type="dxa"/>
            <w:shd w:val="clear" w:color="auto" w:fill="D9D9D9" w:themeFill="background1" w:themeFillShade="D9"/>
            <w:vAlign w:val="center"/>
          </w:tcPr>
          <w:p w:rsidR="00F707C8" w:rsidRPr="00E47476" w:rsidRDefault="00F707C8" w:rsidP="002D2E52">
            <w:pPr>
              <w:rPr>
                <w:rFonts w:ascii="Arial" w:hAnsi="Arial" w:cs="Arial"/>
                <w:b/>
              </w:rPr>
            </w:pPr>
            <w:r>
              <w:rPr>
                <w:rFonts w:ascii="Arial" w:hAnsi="Arial" w:cs="Arial"/>
                <w:b/>
              </w:rPr>
              <w:t>Effekt</w:t>
            </w:r>
          </w:p>
        </w:tc>
        <w:tc>
          <w:tcPr>
            <w:tcW w:w="1859" w:type="dxa"/>
            <w:shd w:val="clear" w:color="auto" w:fill="D9D9D9" w:themeFill="background1" w:themeFillShade="D9"/>
            <w:vAlign w:val="center"/>
          </w:tcPr>
          <w:p w:rsidR="00F707C8" w:rsidRDefault="00F707C8" w:rsidP="002D2E52">
            <w:pPr>
              <w:rPr>
                <w:rFonts w:ascii="Arial" w:hAnsi="Arial" w:cs="Arial"/>
                <w:b/>
              </w:rPr>
            </w:pPr>
            <w:r>
              <w:rPr>
                <w:rFonts w:ascii="Arial" w:hAnsi="Arial" w:cs="Arial"/>
                <w:b/>
              </w:rPr>
              <w:t>Reversibilität</w:t>
            </w:r>
          </w:p>
        </w:tc>
      </w:tr>
      <w:tr w:rsidR="00AE12A4" w:rsidRPr="00E47476" w:rsidTr="00AE12A4">
        <w:trPr>
          <w:trHeight w:val="387"/>
        </w:trPr>
        <w:tc>
          <w:tcPr>
            <w:tcW w:w="2796" w:type="dxa"/>
            <w:gridSpan w:val="2"/>
            <w:vMerge w:val="restart"/>
            <w:vAlign w:val="center"/>
          </w:tcPr>
          <w:p w:rsidR="00AE12A4" w:rsidRPr="00E47476" w:rsidRDefault="00AE12A4" w:rsidP="00AE12A4">
            <w:pPr>
              <w:rPr>
                <w:rFonts w:ascii="Arial" w:hAnsi="Arial" w:cs="Arial"/>
              </w:rPr>
            </w:pPr>
            <w:r w:rsidRPr="00E47476">
              <w:rPr>
                <w:rFonts w:ascii="Arial" w:hAnsi="Arial" w:cs="Arial"/>
              </w:rPr>
              <w:t>Cyclophosphamid</w:t>
            </w:r>
          </w:p>
        </w:tc>
        <w:tc>
          <w:tcPr>
            <w:tcW w:w="2724" w:type="dxa"/>
            <w:vAlign w:val="center"/>
          </w:tcPr>
          <w:p w:rsidR="00AE12A4" w:rsidRPr="00E47476" w:rsidRDefault="00AE12A4" w:rsidP="00AE12A4">
            <w:pPr>
              <w:rPr>
                <w:rFonts w:ascii="Arial" w:hAnsi="Arial" w:cs="Arial"/>
              </w:rPr>
            </w:pPr>
            <w:r>
              <w:rPr>
                <w:rFonts w:ascii="Arial" w:hAnsi="Arial" w:cs="Arial"/>
              </w:rPr>
              <w:t>6 - 10</w:t>
            </w:r>
            <w:r w:rsidR="005355F4">
              <w:rPr>
                <w:rFonts w:ascii="Arial" w:hAnsi="Arial" w:cs="Arial"/>
              </w:rPr>
              <w:t xml:space="preserve"> </w:t>
            </w:r>
            <w:r>
              <w:rPr>
                <w:rFonts w:ascii="Arial" w:hAnsi="Arial" w:cs="Arial"/>
              </w:rPr>
              <w:t>g Gesamt</w:t>
            </w:r>
          </w:p>
        </w:tc>
        <w:tc>
          <w:tcPr>
            <w:tcW w:w="1909" w:type="dxa"/>
            <w:vAlign w:val="center"/>
          </w:tcPr>
          <w:p w:rsidR="00AE12A4" w:rsidRPr="0018219B" w:rsidRDefault="00AE12A4" w:rsidP="002D2E52">
            <w:pPr>
              <w:rPr>
                <w:rFonts w:ascii="Arial" w:hAnsi="Arial" w:cs="Arial"/>
                <w:b/>
              </w:rPr>
            </w:pPr>
            <w:r w:rsidRPr="00E47476">
              <w:rPr>
                <w:rFonts w:ascii="Arial" w:hAnsi="Arial" w:cs="Arial"/>
              </w:rPr>
              <w:t>Azoospermie</w:t>
            </w:r>
          </w:p>
        </w:tc>
        <w:tc>
          <w:tcPr>
            <w:tcW w:w="1859" w:type="dxa"/>
            <w:vAlign w:val="center"/>
          </w:tcPr>
          <w:p w:rsidR="00AE12A4" w:rsidRPr="00E47476" w:rsidRDefault="00AE12A4" w:rsidP="002D2E52">
            <w:pPr>
              <w:rPr>
                <w:rFonts w:ascii="Arial" w:hAnsi="Arial" w:cs="Arial"/>
              </w:rPr>
            </w:pPr>
            <w:r>
              <w:rPr>
                <w:rFonts w:ascii="Arial" w:hAnsi="Arial" w:cs="Arial"/>
              </w:rPr>
              <w:t>permanent</w:t>
            </w:r>
          </w:p>
        </w:tc>
      </w:tr>
      <w:tr w:rsidR="00AE12A4" w:rsidRPr="00E47476" w:rsidTr="002D2E52">
        <w:trPr>
          <w:trHeight w:val="387"/>
        </w:trPr>
        <w:tc>
          <w:tcPr>
            <w:tcW w:w="2796" w:type="dxa"/>
            <w:gridSpan w:val="2"/>
            <w:vMerge/>
            <w:vAlign w:val="center"/>
          </w:tcPr>
          <w:p w:rsidR="00AE12A4" w:rsidRPr="00E47476" w:rsidRDefault="00AE12A4" w:rsidP="002D2E52">
            <w:pPr>
              <w:rPr>
                <w:rFonts w:ascii="Arial" w:hAnsi="Arial" w:cs="Arial"/>
              </w:rPr>
            </w:pPr>
          </w:p>
        </w:tc>
        <w:tc>
          <w:tcPr>
            <w:tcW w:w="2724" w:type="dxa"/>
            <w:vAlign w:val="center"/>
          </w:tcPr>
          <w:p w:rsidR="00AE12A4" w:rsidRPr="00E47476" w:rsidRDefault="00AE12A4" w:rsidP="002D2E52">
            <w:pPr>
              <w:rPr>
                <w:rFonts w:ascii="Arial" w:hAnsi="Arial" w:cs="Arial"/>
              </w:rPr>
            </w:pPr>
            <w:r>
              <w:rPr>
                <w:rFonts w:ascii="Arial" w:hAnsi="Arial" w:cs="Arial"/>
              </w:rPr>
              <w:t>&lt; 5</w:t>
            </w:r>
            <w:r w:rsidR="005355F4">
              <w:rPr>
                <w:rFonts w:ascii="Arial" w:hAnsi="Arial" w:cs="Arial"/>
              </w:rPr>
              <w:t xml:space="preserve"> </w:t>
            </w:r>
            <w:r>
              <w:rPr>
                <w:rFonts w:ascii="Arial" w:hAnsi="Arial" w:cs="Arial"/>
              </w:rPr>
              <w:t>g Gesamt</w:t>
            </w:r>
          </w:p>
        </w:tc>
        <w:tc>
          <w:tcPr>
            <w:tcW w:w="1909" w:type="dxa"/>
            <w:vAlign w:val="center"/>
          </w:tcPr>
          <w:p w:rsidR="00AE12A4" w:rsidRPr="00E47476" w:rsidRDefault="00AE12A4" w:rsidP="002D2E52">
            <w:pPr>
              <w:rPr>
                <w:rFonts w:ascii="Arial" w:hAnsi="Arial" w:cs="Arial"/>
              </w:rPr>
            </w:pPr>
            <w:r>
              <w:rPr>
                <w:rFonts w:ascii="Arial" w:hAnsi="Arial" w:cs="Arial"/>
              </w:rPr>
              <w:t>A</w:t>
            </w:r>
            <w:r w:rsidRPr="00E47476">
              <w:rPr>
                <w:rFonts w:ascii="Arial" w:hAnsi="Arial" w:cs="Arial"/>
              </w:rPr>
              <w:t>zoospermie</w:t>
            </w:r>
          </w:p>
        </w:tc>
        <w:tc>
          <w:tcPr>
            <w:tcW w:w="1859" w:type="dxa"/>
            <w:vAlign w:val="center"/>
          </w:tcPr>
          <w:p w:rsidR="00AE12A4" w:rsidRPr="00E47476" w:rsidRDefault="00AE12A4" w:rsidP="002D2E52">
            <w:pPr>
              <w:rPr>
                <w:rFonts w:ascii="Arial" w:hAnsi="Arial" w:cs="Arial"/>
              </w:rPr>
            </w:pPr>
            <w:r>
              <w:rPr>
                <w:rFonts w:ascii="Arial" w:hAnsi="Arial" w:cs="Arial"/>
              </w:rPr>
              <w:t>häufig</w:t>
            </w:r>
          </w:p>
        </w:tc>
      </w:tr>
      <w:tr w:rsidR="00AE12A4" w:rsidRPr="00E47476" w:rsidTr="002D2E52">
        <w:trPr>
          <w:trHeight w:val="408"/>
        </w:trPr>
        <w:tc>
          <w:tcPr>
            <w:tcW w:w="2796" w:type="dxa"/>
            <w:gridSpan w:val="2"/>
            <w:vMerge w:val="restart"/>
            <w:vAlign w:val="center"/>
          </w:tcPr>
          <w:p w:rsidR="00AE12A4" w:rsidRPr="00E47476" w:rsidRDefault="00AE12A4" w:rsidP="002D2E52">
            <w:pPr>
              <w:rPr>
                <w:rFonts w:ascii="Arial" w:hAnsi="Arial" w:cs="Arial"/>
              </w:rPr>
            </w:pPr>
            <w:r w:rsidRPr="00E47476">
              <w:rPr>
                <w:rFonts w:ascii="Arial" w:hAnsi="Arial" w:cs="Arial"/>
              </w:rPr>
              <w:t>Chlorambucil</w:t>
            </w:r>
          </w:p>
        </w:tc>
        <w:tc>
          <w:tcPr>
            <w:tcW w:w="2724" w:type="dxa"/>
            <w:vAlign w:val="center"/>
          </w:tcPr>
          <w:p w:rsidR="00AE12A4" w:rsidRPr="00E47476" w:rsidRDefault="00AE12A4" w:rsidP="002D2E52">
            <w:pPr>
              <w:rPr>
                <w:rFonts w:ascii="Arial" w:hAnsi="Arial" w:cs="Arial"/>
              </w:rPr>
            </w:pPr>
            <w:r>
              <w:rPr>
                <w:rFonts w:ascii="Arial" w:hAnsi="Arial" w:cs="Arial"/>
              </w:rPr>
              <w:t>&lt; 1,4 g/m²</w:t>
            </w:r>
          </w:p>
        </w:tc>
        <w:tc>
          <w:tcPr>
            <w:tcW w:w="1909" w:type="dxa"/>
            <w:vAlign w:val="center"/>
          </w:tcPr>
          <w:p w:rsidR="00AE12A4" w:rsidRPr="0018219B" w:rsidRDefault="00AE12A4" w:rsidP="002D2E52">
            <w:pPr>
              <w:rPr>
                <w:rFonts w:ascii="Arial" w:hAnsi="Arial" w:cs="Arial"/>
              </w:rPr>
            </w:pPr>
            <w:r w:rsidRPr="00E47476">
              <w:rPr>
                <w:rFonts w:ascii="Arial" w:hAnsi="Arial" w:cs="Arial"/>
              </w:rPr>
              <w:t>Azoospermie</w:t>
            </w:r>
          </w:p>
        </w:tc>
        <w:tc>
          <w:tcPr>
            <w:tcW w:w="1859" w:type="dxa"/>
            <w:vAlign w:val="center"/>
          </w:tcPr>
          <w:p w:rsidR="00AE12A4" w:rsidRPr="00E47476" w:rsidRDefault="00AE12A4" w:rsidP="002D2E52">
            <w:pPr>
              <w:rPr>
                <w:rFonts w:ascii="Arial" w:hAnsi="Arial" w:cs="Arial"/>
              </w:rPr>
            </w:pPr>
            <w:r>
              <w:rPr>
                <w:rFonts w:ascii="Arial" w:hAnsi="Arial" w:cs="Arial"/>
              </w:rPr>
              <w:t>meist</w:t>
            </w:r>
          </w:p>
        </w:tc>
      </w:tr>
      <w:tr w:rsidR="00AE12A4" w:rsidRPr="00E47476" w:rsidTr="002D2E52">
        <w:trPr>
          <w:trHeight w:val="408"/>
        </w:trPr>
        <w:tc>
          <w:tcPr>
            <w:tcW w:w="2796" w:type="dxa"/>
            <w:gridSpan w:val="2"/>
            <w:vMerge/>
            <w:vAlign w:val="center"/>
          </w:tcPr>
          <w:p w:rsidR="00AE12A4" w:rsidRPr="00E47476" w:rsidRDefault="00AE12A4" w:rsidP="002D2E52">
            <w:pPr>
              <w:rPr>
                <w:rFonts w:ascii="Arial" w:hAnsi="Arial" w:cs="Arial"/>
              </w:rPr>
            </w:pPr>
          </w:p>
        </w:tc>
        <w:tc>
          <w:tcPr>
            <w:tcW w:w="2724" w:type="dxa"/>
            <w:vAlign w:val="center"/>
          </w:tcPr>
          <w:p w:rsidR="00AE12A4" w:rsidRPr="00E47476" w:rsidRDefault="00AE12A4" w:rsidP="002D2E52">
            <w:pPr>
              <w:rPr>
                <w:rFonts w:ascii="Arial" w:hAnsi="Arial" w:cs="Arial"/>
              </w:rPr>
            </w:pPr>
            <w:r>
              <w:rPr>
                <w:rFonts w:ascii="Arial" w:hAnsi="Arial" w:cs="Arial"/>
              </w:rPr>
              <w:t>&gt; 1,5 g/m²</w:t>
            </w:r>
          </w:p>
        </w:tc>
        <w:tc>
          <w:tcPr>
            <w:tcW w:w="1909" w:type="dxa"/>
            <w:vAlign w:val="center"/>
          </w:tcPr>
          <w:p w:rsidR="00AE12A4" w:rsidRPr="00E47476" w:rsidRDefault="00AE12A4" w:rsidP="002D2E52">
            <w:pPr>
              <w:rPr>
                <w:rFonts w:ascii="Arial" w:hAnsi="Arial" w:cs="Arial"/>
              </w:rPr>
            </w:pPr>
            <w:r>
              <w:rPr>
                <w:rFonts w:ascii="Arial" w:hAnsi="Arial" w:cs="Arial"/>
              </w:rPr>
              <w:t>Azoospermie</w:t>
            </w:r>
          </w:p>
        </w:tc>
        <w:tc>
          <w:tcPr>
            <w:tcW w:w="1859" w:type="dxa"/>
            <w:vAlign w:val="center"/>
          </w:tcPr>
          <w:p w:rsidR="00AE12A4" w:rsidRPr="00E47476" w:rsidRDefault="00AE12A4" w:rsidP="002D2E52">
            <w:pPr>
              <w:rPr>
                <w:rFonts w:ascii="Arial" w:hAnsi="Arial" w:cs="Arial"/>
              </w:rPr>
            </w:pPr>
            <w:r>
              <w:rPr>
                <w:rFonts w:ascii="Arial" w:hAnsi="Arial" w:cs="Arial"/>
              </w:rPr>
              <w:t>permanent</w:t>
            </w:r>
          </w:p>
        </w:tc>
      </w:tr>
      <w:tr w:rsidR="00AE12A4" w:rsidRPr="00E47476" w:rsidTr="002D2E52">
        <w:trPr>
          <w:trHeight w:val="387"/>
        </w:trPr>
        <w:tc>
          <w:tcPr>
            <w:tcW w:w="2796" w:type="dxa"/>
            <w:gridSpan w:val="2"/>
            <w:vMerge w:val="restart"/>
            <w:vAlign w:val="center"/>
          </w:tcPr>
          <w:p w:rsidR="00AE12A4" w:rsidRPr="00E47476" w:rsidRDefault="00AE12A4" w:rsidP="002D2E52">
            <w:pPr>
              <w:rPr>
                <w:rFonts w:ascii="Arial" w:hAnsi="Arial" w:cs="Arial"/>
              </w:rPr>
            </w:pPr>
            <w:r w:rsidRPr="00E47476">
              <w:rPr>
                <w:rFonts w:ascii="Arial" w:hAnsi="Arial" w:cs="Arial"/>
              </w:rPr>
              <w:t>Cisplatin</w:t>
            </w:r>
          </w:p>
        </w:tc>
        <w:tc>
          <w:tcPr>
            <w:tcW w:w="2724" w:type="dxa"/>
            <w:vAlign w:val="center"/>
          </w:tcPr>
          <w:p w:rsidR="00AE12A4" w:rsidRPr="00E47476" w:rsidRDefault="00AE12A4" w:rsidP="002D2E52">
            <w:pPr>
              <w:rPr>
                <w:rFonts w:ascii="Arial" w:hAnsi="Arial" w:cs="Arial"/>
              </w:rPr>
            </w:pPr>
            <w:r>
              <w:rPr>
                <w:rFonts w:ascii="Arial" w:hAnsi="Arial" w:cs="Arial"/>
              </w:rPr>
              <w:t>&lt; 500 mg/m²</w:t>
            </w:r>
          </w:p>
        </w:tc>
        <w:tc>
          <w:tcPr>
            <w:tcW w:w="1909" w:type="dxa"/>
            <w:vAlign w:val="center"/>
          </w:tcPr>
          <w:p w:rsidR="00AE12A4" w:rsidRPr="0018219B" w:rsidRDefault="00AE12A4" w:rsidP="002D2E52">
            <w:pPr>
              <w:rPr>
                <w:rFonts w:ascii="Arial" w:hAnsi="Arial" w:cs="Arial"/>
              </w:rPr>
            </w:pPr>
            <w:r w:rsidRPr="00E47476">
              <w:rPr>
                <w:rFonts w:ascii="Arial" w:hAnsi="Arial" w:cs="Arial"/>
              </w:rPr>
              <w:t>Azoospermie</w:t>
            </w:r>
          </w:p>
        </w:tc>
        <w:tc>
          <w:tcPr>
            <w:tcW w:w="1859" w:type="dxa"/>
            <w:vAlign w:val="center"/>
          </w:tcPr>
          <w:p w:rsidR="00AE12A4" w:rsidRPr="00E47476" w:rsidRDefault="00AE12A4" w:rsidP="002D2E52">
            <w:pPr>
              <w:rPr>
                <w:rFonts w:ascii="Arial" w:hAnsi="Arial" w:cs="Arial"/>
              </w:rPr>
            </w:pPr>
            <w:r>
              <w:rPr>
                <w:rFonts w:ascii="Arial" w:hAnsi="Arial" w:cs="Arial"/>
              </w:rPr>
              <w:t>häufig</w:t>
            </w:r>
          </w:p>
        </w:tc>
      </w:tr>
      <w:tr w:rsidR="00AE12A4" w:rsidRPr="00E47476" w:rsidTr="002D2E52">
        <w:trPr>
          <w:trHeight w:val="387"/>
        </w:trPr>
        <w:tc>
          <w:tcPr>
            <w:tcW w:w="2796" w:type="dxa"/>
            <w:gridSpan w:val="2"/>
            <w:vMerge/>
            <w:vAlign w:val="center"/>
          </w:tcPr>
          <w:p w:rsidR="00AE12A4" w:rsidRPr="00E47476" w:rsidRDefault="00AE12A4" w:rsidP="002D2E52">
            <w:pPr>
              <w:rPr>
                <w:rFonts w:ascii="Arial" w:hAnsi="Arial" w:cs="Arial"/>
              </w:rPr>
            </w:pPr>
          </w:p>
        </w:tc>
        <w:tc>
          <w:tcPr>
            <w:tcW w:w="2724" w:type="dxa"/>
            <w:vAlign w:val="center"/>
          </w:tcPr>
          <w:p w:rsidR="00AE12A4" w:rsidRPr="00E47476" w:rsidRDefault="005355F4" w:rsidP="002D2E52">
            <w:pPr>
              <w:rPr>
                <w:rFonts w:ascii="Arial" w:hAnsi="Arial" w:cs="Arial"/>
              </w:rPr>
            </w:pPr>
            <w:r>
              <w:rPr>
                <w:rFonts w:ascii="Arial" w:hAnsi="Arial" w:cs="Arial"/>
              </w:rPr>
              <w:t>&gt; 500 mg/m²</w:t>
            </w:r>
          </w:p>
        </w:tc>
        <w:tc>
          <w:tcPr>
            <w:tcW w:w="1909" w:type="dxa"/>
            <w:vAlign w:val="center"/>
          </w:tcPr>
          <w:p w:rsidR="00AE12A4" w:rsidRPr="00E47476" w:rsidRDefault="005355F4" w:rsidP="002D2E52">
            <w:pPr>
              <w:rPr>
                <w:rFonts w:ascii="Arial" w:hAnsi="Arial" w:cs="Arial"/>
              </w:rPr>
            </w:pPr>
            <w:r w:rsidRPr="00E47476">
              <w:rPr>
                <w:rFonts w:ascii="Arial" w:hAnsi="Arial" w:cs="Arial"/>
              </w:rPr>
              <w:t>Azoospermie</w:t>
            </w:r>
          </w:p>
        </w:tc>
        <w:tc>
          <w:tcPr>
            <w:tcW w:w="1859" w:type="dxa"/>
            <w:vAlign w:val="center"/>
          </w:tcPr>
          <w:p w:rsidR="00AE12A4" w:rsidRPr="00E47476" w:rsidRDefault="00AE12A4" w:rsidP="002D2E52">
            <w:pPr>
              <w:rPr>
                <w:rFonts w:ascii="Arial" w:hAnsi="Arial" w:cs="Arial"/>
              </w:rPr>
            </w:pPr>
            <w:r>
              <w:rPr>
                <w:rFonts w:ascii="Arial" w:hAnsi="Arial" w:cs="Arial"/>
              </w:rPr>
              <w:t>permanent</w:t>
            </w:r>
          </w:p>
        </w:tc>
      </w:tr>
      <w:tr w:rsidR="002D2E52" w:rsidRPr="00E47476" w:rsidTr="002D2E52">
        <w:trPr>
          <w:trHeight w:val="387"/>
        </w:trPr>
        <w:tc>
          <w:tcPr>
            <w:tcW w:w="2796" w:type="dxa"/>
            <w:gridSpan w:val="2"/>
            <w:vAlign w:val="center"/>
          </w:tcPr>
          <w:p w:rsidR="002D2E52" w:rsidRPr="00E47476" w:rsidRDefault="002D2E52" w:rsidP="002D2E52">
            <w:pPr>
              <w:rPr>
                <w:rFonts w:ascii="Arial" w:hAnsi="Arial" w:cs="Arial"/>
              </w:rPr>
            </w:pPr>
            <w:r w:rsidRPr="00E47476">
              <w:rPr>
                <w:rFonts w:ascii="Arial" w:hAnsi="Arial" w:cs="Arial"/>
              </w:rPr>
              <w:t>Melphalan</w:t>
            </w:r>
          </w:p>
        </w:tc>
        <w:tc>
          <w:tcPr>
            <w:tcW w:w="2724" w:type="dxa"/>
            <w:vAlign w:val="center"/>
          </w:tcPr>
          <w:p w:rsidR="002D2E52" w:rsidRPr="00E47476" w:rsidRDefault="005355F4" w:rsidP="002D2E52">
            <w:pPr>
              <w:rPr>
                <w:rFonts w:ascii="Arial" w:hAnsi="Arial" w:cs="Arial"/>
              </w:rPr>
            </w:pPr>
            <w:r>
              <w:rPr>
                <w:rFonts w:ascii="Arial" w:hAnsi="Arial" w:cs="Arial"/>
              </w:rPr>
              <w:t>140 mg/m²</w:t>
            </w:r>
          </w:p>
        </w:tc>
        <w:tc>
          <w:tcPr>
            <w:tcW w:w="1909" w:type="dxa"/>
            <w:vAlign w:val="center"/>
          </w:tcPr>
          <w:p w:rsidR="002D2E52" w:rsidRPr="0018219B" w:rsidRDefault="002D2E52" w:rsidP="002D2E52">
            <w:pPr>
              <w:rPr>
                <w:rFonts w:ascii="Arial" w:hAnsi="Arial" w:cs="Arial"/>
              </w:rPr>
            </w:pPr>
            <w:r w:rsidRPr="00E47476">
              <w:rPr>
                <w:rFonts w:ascii="Arial" w:hAnsi="Arial" w:cs="Arial"/>
              </w:rPr>
              <w:t>Azoospermie</w:t>
            </w:r>
          </w:p>
        </w:tc>
        <w:tc>
          <w:tcPr>
            <w:tcW w:w="1859" w:type="dxa"/>
            <w:vAlign w:val="center"/>
          </w:tcPr>
          <w:p w:rsidR="002D2E52" w:rsidRPr="00E47476" w:rsidRDefault="00AE12A4" w:rsidP="002D2E52">
            <w:pPr>
              <w:rPr>
                <w:rFonts w:ascii="Arial" w:hAnsi="Arial" w:cs="Arial"/>
              </w:rPr>
            </w:pPr>
            <w:r>
              <w:rPr>
                <w:rFonts w:ascii="Arial" w:hAnsi="Arial" w:cs="Arial"/>
              </w:rPr>
              <w:t>permanent</w:t>
            </w:r>
          </w:p>
        </w:tc>
      </w:tr>
      <w:tr w:rsidR="002D2E52" w:rsidRPr="00E47476" w:rsidTr="002D2E52">
        <w:trPr>
          <w:trHeight w:val="387"/>
        </w:trPr>
        <w:tc>
          <w:tcPr>
            <w:tcW w:w="2796" w:type="dxa"/>
            <w:gridSpan w:val="2"/>
            <w:vAlign w:val="center"/>
          </w:tcPr>
          <w:p w:rsidR="002D2E52" w:rsidRPr="00E47476" w:rsidRDefault="002D2E52" w:rsidP="002D2E52">
            <w:pPr>
              <w:rPr>
                <w:rFonts w:ascii="Arial" w:hAnsi="Arial" w:cs="Arial"/>
              </w:rPr>
            </w:pPr>
            <w:r w:rsidRPr="00E47476">
              <w:rPr>
                <w:rFonts w:ascii="Arial" w:hAnsi="Arial" w:cs="Arial"/>
              </w:rPr>
              <w:t>Procarbazine</w:t>
            </w:r>
          </w:p>
        </w:tc>
        <w:tc>
          <w:tcPr>
            <w:tcW w:w="2724" w:type="dxa"/>
            <w:vAlign w:val="center"/>
          </w:tcPr>
          <w:p w:rsidR="002D2E52" w:rsidRPr="00E47476" w:rsidRDefault="005355F4" w:rsidP="002D2E52">
            <w:pPr>
              <w:rPr>
                <w:rFonts w:ascii="Arial" w:hAnsi="Arial" w:cs="Arial"/>
              </w:rPr>
            </w:pPr>
            <w:r>
              <w:rPr>
                <w:rFonts w:ascii="Arial" w:hAnsi="Arial" w:cs="Arial"/>
              </w:rPr>
              <w:t>4 g/m²</w:t>
            </w:r>
          </w:p>
        </w:tc>
        <w:tc>
          <w:tcPr>
            <w:tcW w:w="1909" w:type="dxa"/>
            <w:vAlign w:val="center"/>
          </w:tcPr>
          <w:p w:rsidR="002D2E52" w:rsidRPr="0018219B" w:rsidRDefault="002D2E52" w:rsidP="002D2E52">
            <w:pPr>
              <w:rPr>
                <w:rFonts w:ascii="Arial" w:hAnsi="Arial" w:cs="Arial"/>
                <w:b/>
              </w:rPr>
            </w:pPr>
            <w:r w:rsidRPr="00E47476">
              <w:rPr>
                <w:rFonts w:ascii="Arial" w:hAnsi="Arial" w:cs="Arial"/>
              </w:rPr>
              <w:t>Azoospermie</w:t>
            </w:r>
          </w:p>
        </w:tc>
        <w:tc>
          <w:tcPr>
            <w:tcW w:w="1859" w:type="dxa"/>
            <w:vAlign w:val="center"/>
          </w:tcPr>
          <w:p w:rsidR="002D2E52" w:rsidRPr="00E47476" w:rsidRDefault="00AE12A4" w:rsidP="002D2E52">
            <w:pPr>
              <w:rPr>
                <w:rFonts w:ascii="Arial" w:hAnsi="Arial" w:cs="Arial"/>
              </w:rPr>
            </w:pPr>
            <w:r>
              <w:rPr>
                <w:rFonts w:ascii="Arial" w:hAnsi="Arial" w:cs="Arial"/>
              </w:rPr>
              <w:t>permanent</w:t>
            </w:r>
          </w:p>
        </w:tc>
      </w:tr>
      <w:tr w:rsidR="005355F4" w:rsidRPr="00E47476" w:rsidTr="00945575">
        <w:trPr>
          <w:trHeight w:val="426"/>
        </w:trPr>
        <w:tc>
          <w:tcPr>
            <w:tcW w:w="1398" w:type="dxa"/>
            <w:vAlign w:val="center"/>
          </w:tcPr>
          <w:p w:rsidR="005355F4" w:rsidRPr="005355F4" w:rsidRDefault="005355F4" w:rsidP="002D2E52">
            <w:pPr>
              <w:rPr>
                <w:rFonts w:ascii="Arial" w:hAnsi="Arial" w:cs="Arial"/>
              </w:rPr>
            </w:pPr>
            <w:r w:rsidRPr="005355F4">
              <w:rPr>
                <w:rFonts w:ascii="Arial" w:hAnsi="Arial" w:cs="Arial"/>
              </w:rPr>
              <w:t>Präpubertär</w:t>
            </w:r>
          </w:p>
        </w:tc>
        <w:tc>
          <w:tcPr>
            <w:tcW w:w="1398" w:type="dxa"/>
            <w:vAlign w:val="center"/>
          </w:tcPr>
          <w:p w:rsidR="005355F4" w:rsidRPr="005355F4" w:rsidRDefault="005355F4" w:rsidP="002D2E52">
            <w:pPr>
              <w:rPr>
                <w:rFonts w:ascii="Arial" w:hAnsi="Arial" w:cs="Arial"/>
              </w:rPr>
            </w:pPr>
            <w:r w:rsidRPr="00E47476">
              <w:rPr>
                <w:rFonts w:ascii="Arial" w:hAnsi="Arial" w:cs="Arial"/>
              </w:rPr>
              <w:t>BCNU</w:t>
            </w:r>
          </w:p>
        </w:tc>
        <w:tc>
          <w:tcPr>
            <w:tcW w:w="2724" w:type="dxa"/>
            <w:vAlign w:val="center"/>
          </w:tcPr>
          <w:p w:rsidR="005355F4" w:rsidRPr="00E47476" w:rsidRDefault="005355F4" w:rsidP="002D2E52">
            <w:pPr>
              <w:rPr>
                <w:rFonts w:ascii="Arial" w:hAnsi="Arial" w:cs="Arial"/>
              </w:rPr>
            </w:pPr>
            <w:r>
              <w:rPr>
                <w:rFonts w:ascii="Arial" w:hAnsi="Arial" w:cs="Arial"/>
              </w:rPr>
              <w:t>1 g/m²</w:t>
            </w:r>
          </w:p>
        </w:tc>
        <w:tc>
          <w:tcPr>
            <w:tcW w:w="1909" w:type="dxa"/>
            <w:vAlign w:val="center"/>
          </w:tcPr>
          <w:p w:rsidR="005355F4" w:rsidRPr="0018219B" w:rsidRDefault="005355F4" w:rsidP="002D2E52">
            <w:pPr>
              <w:rPr>
                <w:rFonts w:ascii="Arial" w:hAnsi="Arial" w:cs="Arial"/>
              </w:rPr>
            </w:pPr>
            <w:r w:rsidRPr="00E47476">
              <w:rPr>
                <w:rFonts w:ascii="Arial" w:hAnsi="Arial" w:cs="Arial"/>
              </w:rPr>
              <w:t>Azoospermie</w:t>
            </w:r>
          </w:p>
        </w:tc>
        <w:tc>
          <w:tcPr>
            <w:tcW w:w="1859" w:type="dxa"/>
            <w:vAlign w:val="center"/>
          </w:tcPr>
          <w:p w:rsidR="005355F4" w:rsidRPr="00E47476" w:rsidRDefault="005355F4" w:rsidP="002D2E52">
            <w:pPr>
              <w:rPr>
                <w:rFonts w:ascii="Arial" w:hAnsi="Arial" w:cs="Arial"/>
              </w:rPr>
            </w:pPr>
            <w:r>
              <w:rPr>
                <w:rFonts w:ascii="Arial" w:hAnsi="Arial" w:cs="Arial"/>
              </w:rPr>
              <w:t>permanent</w:t>
            </w:r>
          </w:p>
        </w:tc>
      </w:tr>
      <w:tr w:rsidR="005355F4" w:rsidRPr="00E47476" w:rsidTr="00D20C1B">
        <w:trPr>
          <w:trHeight w:val="412"/>
        </w:trPr>
        <w:tc>
          <w:tcPr>
            <w:tcW w:w="1398" w:type="dxa"/>
            <w:vAlign w:val="center"/>
          </w:tcPr>
          <w:p w:rsidR="005355F4" w:rsidRPr="005355F4" w:rsidRDefault="005355F4" w:rsidP="002D2E52">
            <w:pPr>
              <w:rPr>
                <w:rFonts w:ascii="Arial" w:hAnsi="Arial" w:cs="Arial"/>
              </w:rPr>
            </w:pPr>
            <w:r>
              <w:rPr>
                <w:rFonts w:ascii="Arial" w:hAnsi="Arial" w:cs="Arial"/>
              </w:rPr>
              <w:t>Kindesalter</w:t>
            </w:r>
          </w:p>
        </w:tc>
        <w:tc>
          <w:tcPr>
            <w:tcW w:w="1398" w:type="dxa"/>
            <w:vAlign w:val="center"/>
          </w:tcPr>
          <w:p w:rsidR="005355F4" w:rsidRPr="005355F4" w:rsidRDefault="005355F4" w:rsidP="002D2E52">
            <w:pPr>
              <w:rPr>
                <w:rFonts w:ascii="Arial" w:hAnsi="Arial" w:cs="Arial"/>
              </w:rPr>
            </w:pPr>
            <w:r w:rsidRPr="00E47476">
              <w:rPr>
                <w:rFonts w:ascii="Arial" w:hAnsi="Arial" w:cs="Arial"/>
              </w:rPr>
              <w:t>CCNU</w:t>
            </w:r>
          </w:p>
        </w:tc>
        <w:tc>
          <w:tcPr>
            <w:tcW w:w="2724" w:type="dxa"/>
            <w:vAlign w:val="center"/>
          </w:tcPr>
          <w:p w:rsidR="005355F4" w:rsidRPr="00E47476" w:rsidRDefault="005355F4" w:rsidP="002D2E52">
            <w:pPr>
              <w:rPr>
                <w:rFonts w:ascii="Arial" w:hAnsi="Arial" w:cs="Arial"/>
              </w:rPr>
            </w:pPr>
            <w:r>
              <w:rPr>
                <w:rFonts w:ascii="Arial" w:hAnsi="Arial" w:cs="Arial"/>
              </w:rPr>
              <w:t>500 mg/m²</w:t>
            </w:r>
          </w:p>
        </w:tc>
        <w:tc>
          <w:tcPr>
            <w:tcW w:w="1909" w:type="dxa"/>
            <w:vAlign w:val="center"/>
          </w:tcPr>
          <w:p w:rsidR="005355F4" w:rsidRPr="0018219B" w:rsidRDefault="005355F4" w:rsidP="002D2E52">
            <w:pPr>
              <w:rPr>
                <w:rFonts w:ascii="Arial" w:hAnsi="Arial" w:cs="Arial"/>
              </w:rPr>
            </w:pPr>
            <w:r w:rsidRPr="00E47476">
              <w:rPr>
                <w:rFonts w:ascii="Arial" w:hAnsi="Arial" w:cs="Arial"/>
              </w:rPr>
              <w:t>Azoospermie</w:t>
            </w:r>
          </w:p>
        </w:tc>
        <w:tc>
          <w:tcPr>
            <w:tcW w:w="1859" w:type="dxa"/>
            <w:vAlign w:val="center"/>
          </w:tcPr>
          <w:p w:rsidR="005355F4" w:rsidRPr="00E47476" w:rsidRDefault="005355F4" w:rsidP="002D2E52">
            <w:pPr>
              <w:rPr>
                <w:rFonts w:ascii="Arial" w:hAnsi="Arial" w:cs="Arial"/>
              </w:rPr>
            </w:pPr>
            <w:r>
              <w:rPr>
                <w:rFonts w:ascii="Arial" w:hAnsi="Arial" w:cs="Arial"/>
              </w:rPr>
              <w:t xml:space="preserve">permanent </w:t>
            </w:r>
          </w:p>
        </w:tc>
      </w:tr>
      <w:tr w:rsidR="00F20101" w:rsidRPr="00E47476" w:rsidTr="00F20101">
        <w:trPr>
          <w:trHeight w:val="470"/>
        </w:trPr>
        <w:tc>
          <w:tcPr>
            <w:tcW w:w="9288" w:type="dxa"/>
            <w:gridSpan w:val="5"/>
            <w:shd w:val="clear" w:color="auto" w:fill="D9D9D9" w:themeFill="background1" w:themeFillShade="D9"/>
            <w:vAlign w:val="center"/>
          </w:tcPr>
          <w:p w:rsidR="00F20101" w:rsidRPr="00F20101" w:rsidRDefault="00F20101" w:rsidP="002D2E52">
            <w:pPr>
              <w:rPr>
                <w:rFonts w:ascii="Arial" w:hAnsi="Arial" w:cs="Arial"/>
                <w:b/>
              </w:rPr>
            </w:pPr>
            <w:r>
              <w:rPr>
                <w:rFonts w:ascii="Arial" w:hAnsi="Arial" w:cs="Arial"/>
                <w:b/>
              </w:rPr>
              <w:t>Kombinationstherapeutika</w:t>
            </w:r>
          </w:p>
        </w:tc>
      </w:tr>
      <w:tr w:rsidR="00F20101" w:rsidRPr="00E47476" w:rsidTr="002D2E52">
        <w:trPr>
          <w:trHeight w:val="330"/>
        </w:trPr>
        <w:tc>
          <w:tcPr>
            <w:tcW w:w="2796" w:type="dxa"/>
            <w:gridSpan w:val="2"/>
            <w:vAlign w:val="center"/>
          </w:tcPr>
          <w:p w:rsidR="00F20101" w:rsidRPr="00E47476" w:rsidRDefault="00F20101" w:rsidP="004350FC">
            <w:pPr>
              <w:rPr>
                <w:rFonts w:ascii="Arial" w:hAnsi="Arial" w:cs="Arial"/>
              </w:rPr>
            </w:pPr>
            <w:r w:rsidRPr="00E47476">
              <w:rPr>
                <w:rFonts w:ascii="Arial" w:hAnsi="Arial" w:cs="Arial"/>
              </w:rPr>
              <w:t>Busulphan</w:t>
            </w:r>
          </w:p>
        </w:tc>
        <w:tc>
          <w:tcPr>
            <w:tcW w:w="2724" w:type="dxa"/>
            <w:vAlign w:val="center"/>
          </w:tcPr>
          <w:p w:rsidR="00F20101" w:rsidRPr="00E47476" w:rsidRDefault="00F20101" w:rsidP="002D2E52">
            <w:pPr>
              <w:rPr>
                <w:rFonts w:ascii="Arial" w:hAnsi="Arial" w:cs="Arial"/>
              </w:rPr>
            </w:pPr>
            <w:r>
              <w:rPr>
                <w:rFonts w:ascii="Arial" w:hAnsi="Arial" w:cs="Arial"/>
              </w:rPr>
              <w:t>600 mg/kg</w:t>
            </w:r>
          </w:p>
        </w:tc>
        <w:tc>
          <w:tcPr>
            <w:tcW w:w="1909" w:type="dxa"/>
            <w:vAlign w:val="center"/>
          </w:tcPr>
          <w:p w:rsidR="00F20101" w:rsidRPr="0018219B" w:rsidRDefault="00F20101" w:rsidP="002D2E52">
            <w:pPr>
              <w:rPr>
                <w:rFonts w:ascii="Arial" w:hAnsi="Arial" w:cs="Arial"/>
                <w:b/>
              </w:rPr>
            </w:pPr>
            <w:r w:rsidRPr="00E47476">
              <w:rPr>
                <w:rFonts w:ascii="Arial" w:hAnsi="Arial" w:cs="Arial"/>
              </w:rPr>
              <w:t>Azoospermie</w:t>
            </w:r>
          </w:p>
        </w:tc>
        <w:tc>
          <w:tcPr>
            <w:tcW w:w="1859" w:type="dxa"/>
            <w:vAlign w:val="center"/>
          </w:tcPr>
          <w:p w:rsidR="00F20101" w:rsidRPr="00E47476" w:rsidRDefault="00F20101" w:rsidP="002D2E52">
            <w:pPr>
              <w:rPr>
                <w:rFonts w:ascii="Arial" w:hAnsi="Arial" w:cs="Arial"/>
              </w:rPr>
            </w:pPr>
            <w:r>
              <w:rPr>
                <w:rFonts w:ascii="Arial" w:hAnsi="Arial" w:cs="Arial"/>
              </w:rPr>
              <w:t>meist reversibel</w:t>
            </w:r>
          </w:p>
        </w:tc>
      </w:tr>
      <w:tr w:rsidR="00F20101" w:rsidRPr="00E47476" w:rsidTr="002D2E52">
        <w:trPr>
          <w:trHeight w:val="387"/>
        </w:trPr>
        <w:tc>
          <w:tcPr>
            <w:tcW w:w="2796" w:type="dxa"/>
            <w:gridSpan w:val="2"/>
            <w:vAlign w:val="center"/>
          </w:tcPr>
          <w:p w:rsidR="00F20101" w:rsidRPr="00E47476" w:rsidRDefault="00F20101" w:rsidP="004350FC">
            <w:pPr>
              <w:rPr>
                <w:rFonts w:ascii="Arial" w:hAnsi="Arial" w:cs="Arial"/>
              </w:rPr>
            </w:pPr>
            <w:r w:rsidRPr="00E47476">
              <w:rPr>
                <w:rFonts w:ascii="Arial" w:hAnsi="Arial" w:cs="Arial"/>
              </w:rPr>
              <w:t>Ifosfamid</w:t>
            </w:r>
          </w:p>
        </w:tc>
        <w:tc>
          <w:tcPr>
            <w:tcW w:w="2724" w:type="dxa"/>
            <w:vAlign w:val="center"/>
          </w:tcPr>
          <w:p w:rsidR="00F20101" w:rsidRPr="00E47476" w:rsidRDefault="00F20101" w:rsidP="002D2E52">
            <w:pPr>
              <w:rPr>
                <w:rFonts w:ascii="Arial" w:hAnsi="Arial" w:cs="Arial"/>
              </w:rPr>
            </w:pPr>
            <w:r>
              <w:rPr>
                <w:rFonts w:ascii="Arial" w:hAnsi="Arial" w:cs="Arial"/>
              </w:rPr>
              <w:t>42 g/m²</w:t>
            </w:r>
          </w:p>
        </w:tc>
        <w:tc>
          <w:tcPr>
            <w:tcW w:w="1909" w:type="dxa"/>
            <w:vAlign w:val="center"/>
          </w:tcPr>
          <w:p w:rsidR="00F20101" w:rsidRPr="0018219B" w:rsidRDefault="00F20101" w:rsidP="002D2E52">
            <w:pPr>
              <w:rPr>
                <w:rFonts w:ascii="Arial" w:hAnsi="Arial" w:cs="Arial"/>
              </w:rPr>
            </w:pPr>
            <w:r w:rsidRPr="00E47476">
              <w:rPr>
                <w:rFonts w:ascii="Arial" w:hAnsi="Arial" w:cs="Arial"/>
              </w:rPr>
              <w:t>Azoospermie</w:t>
            </w:r>
          </w:p>
        </w:tc>
        <w:tc>
          <w:tcPr>
            <w:tcW w:w="1859" w:type="dxa"/>
            <w:vAlign w:val="center"/>
          </w:tcPr>
          <w:p w:rsidR="00F20101" w:rsidRPr="00E47476" w:rsidRDefault="00F20101" w:rsidP="002D2E52">
            <w:pPr>
              <w:rPr>
                <w:rFonts w:ascii="Arial" w:hAnsi="Arial" w:cs="Arial"/>
              </w:rPr>
            </w:pPr>
            <w:r>
              <w:rPr>
                <w:rFonts w:ascii="Arial" w:hAnsi="Arial" w:cs="Arial"/>
              </w:rPr>
              <w:t>meist reversibel</w:t>
            </w:r>
          </w:p>
        </w:tc>
      </w:tr>
      <w:tr w:rsidR="00F20101" w:rsidRPr="00E47476" w:rsidTr="002D2E52">
        <w:trPr>
          <w:trHeight w:val="408"/>
        </w:trPr>
        <w:tc>
          <w:tcPr>
            <w:tcW w:w="2796" w:type="dxa"/>
            <w:gridSpan w:val="2"/>
            <w:vAlign w:val="center"/>
          </w:tcPr>
          <w:p w:rsidR="00F20101" w:rsidRPr="00E47476" w:rsidRDefault="00F20101" w:rsidP="004350FC">
            <w:pPr>
              <w:rPr>
                <w:rFonts w:ascii="Arial" w:hAnsi="Arial" w:cs="Arial"/>
              </w:rPr>
            </w:pPr>
            <w:r w:rsidRPr="00E47476">
              <w:rPr>
                <w:rFonts w:ascii="Arial" w:hAnsi="Arial" w:cs="Arial"/>
              </w:rPr>
              <w:t>Actinomycin D</w:t>
            </w:r>
          </w:p>
        </w:tc>
        <w:tc>
          <w:tcPr>
            <w:tcW w:w="2724" w:type="dxa"/>
            <w:vAlign w:val="center"/>
          </w:tcPr>
          <w:p w:rsidR="00F20101" w:rsidRPr="00E47476" w:rsidRDefault="00F20101" w:rsidP="002D2E52">
            <w:pPr>
              <w:rPr>
                <w:rFonts w:ascii="Arial" w:hAnsi="Arial" w:cs="Arial"/>
              </w:rPr>
            </w:pPr>
          </w:p>
        </w:tc>
        <w:tc>
          <w:tcPr>
            <w:tcW w:w="1909" w:type="dxa"/>
            <w:vAlign w:val="center"/>
          </w:tcPr>
          <w:p w:rsidR="00F20101" w:rsidRPr="0018219B" w:rsidRDefault="00F20101" w:rsidP="002D2E52">
            <w:pPr>
              <w:rPr>
                <w:rFonts w:ascii="Arial" w:hAnsi="Arial" w:cs="Arial"/>
              </w:rPr>
            </w:pPr>
            <w:r w:rsidRPr="00E47476">
              <w:rPr>
                <w:rFonts w:ascii="Arial" w:hAnsi="Arial" w:cs="Arial"/>
              </w:rPr>
              <w:t>Azoospermie</w:t>
            </w:r>
          </w:p>
        </w:tc>
        <w:tc>
          <w:tcPr>
            <w:tcW w:w="1859" w:type="dxa"/>
            <w:vAlign w:val="center"/>
          </w:tcPr>
          <w:p w:rsidR="00F20101" w:rsidRPr="00E47476" w:rsidRDefault="00F20101" w:rsidP="002D2E52">
            <w:pPr>
              <w:rPr>
                <w:rFonts w:ascii="Arial" w:hAnsi="Arial" w:cs="Arial"/>
              </w:rPr>
            </w:pPr>
            <w:r>
              <w:rPr>
                <w:rFonts w:ascii="Arial" w:hAnsi="Arial" w:cs="Arial"/>
              </w:rPr>
              <w:t>meist reversibel</w:t>
            </w:r>
          </w:p>
        </w:tc>
      </w:tr>
      <w:tr w:rsidR="00F20101" w:rsidRPr="00E47476" w:rsidTr="002D2E52">
        <w:trPr>
          <w:trHeight w:val="387"/>
        </w:trPr>
        <w:tc>
          <w:tcPr>
            <w:tcW w:w="2796" w:type="dxa"/>
            <w:gridSpan w:val="2"/>
            <w:vAlign w:val="center"/>
          </w:tcPr>
          <w:p w:rsidR="00F20101" w:rsidRPr="00E47476" w:rsidRDefault="00F20101" w:rsidP="004350FC">
            <w:pPr>
              <w:rPr>
                <w:rFonts w:ascii="Arial" w:hAnsi="Arial" w:cs="Arial"/>
              </w:rPr>
            </w:pPr>
            <w:r w:rsidRPr="00E47476">
              <w:rPr>
                <w:rFonts w:ascii="Arial" w:hAnsi="Arial" w:cs="Arial"/>
              </w:rPr>
              <w:lastRenderedPageBreak/>
              <w:t>Nitrogen mustard</w:t>
            </w:r>
          </w:p>
        </w:tc>
        <w:tc>
          <w:tcPr>
            <w:tcW w:w="2724" w:type="dxa"/>
            <w:vAlign w:val="center"/>
          </w:tcPr>
          <w:p w:rsidR="00F20101" w:rsidRPr="00E47476" w:rsidRDefault="00F20101" w:rsidP="002D2E52">
            <w:pPr>
              <w:rPr>
                <w:rFonts w:ascii="Arial" w:hAnsi="Arial" w:cs="Arial"/>
              </w:rPr>
            </w:pPr>
          </w:p>
        </w:tc>
        <w:tc>
          <w:tcPr>
            <w:tcW w:w="1909" w:type="dxa"/>
            <w:vAlign w:val="center"/>
          </w:tcPr>
          <w:p w:rsidR="00F20101" w:rsidRPr="0018219B" w:rsidRDefault="00F20101" w:rsidP="002D2E52">
            <w:pPr>
              <w:rPr>
                <w:rFonts w:ascii="Arial" w:hAnsi="Arial" w:cs="Arial"/>
              </w:rPr>
            </w:pPr>
            <w:r w:rsidRPr="00E47476">
              <w:rPr>
                <w:rFonts w:ascii="Arial" w:hAnsi="Arial" w:cs="Arial"/>
              </w:rPr>
              <w:t>Azoospermie</w:t>
            </w:r>
          </w:p>
        </w:tc>
        <w:tc>
          <w:tcPr>
            <w:tcW w:w="1859" w:type="dxa"/>
            <w:vAlign w:val="center"/>
          </w:tcPr>
          <w:p w:rsidR="00F20101" w:rsidRPr="00E47476" w:rsidRDefault="00F20101" w:rsidP="002D2E52">
            <w:pPr>
              <w:rPr>
                <w:rFonts w:ascii="Arial" w:hAnsi="Arial" w:cs="Arial"/>
              </w:rPr>
            </w:pPr>
            <w:r>
              <w:rPr>
                <w:rFonts w:ascii="Arial" w:hAnsi="Arial" w:cs="Arial"/>
              </w:rPr>
              <w:t>meist reversibel</w:t>
            </w:r>
          </w:p>
        </w:tc>
      </w:tr>
      <w:tr w:rsidR="008D0F59" w:rsidRPr="00E47476" w:rsidTr="002D2E52">
        <w:trPr>
          <w:trHeight w:val="357"/>
        </w:trPr>
        <w:tc>
          <w:tcPr>
            <w:tcW w:w="2796" w:type="dxa"/>
            <w:gridSpan w:val="2"/>
            <w:vAlign w:val="center"/>
          </w:tcPr>
          <w:p w:rsidR="008D0F59" w:rsidRPr="00E47476" w:rsidRDefault="008D0F59" w:rsidP="00343D92">
            <w:pPr>
              <w:rPr>
                <w:rFonts w:ascii="Arial" w:hAnsi="Arial" w:cs="Arial"/>
              </w:rPr>
            </w:pPr>
            <w:r w:rsidRPr="00E47476">
              <w:rPr>
                <w:rFonts w:ascii="Arial" w:hAnsi="Arial" w:cs="Arial"/>
              </w:rPr>
              <w:t>Adriamycin</w:t>
            </w:r>
          </w:p>
        </w:tc>
        <w:tc>
          <w:tcPr>
            <w:tcW w:w="2724" w:type="dxa"/>
            <w:vAlign w:val="center"/>
          </w:tcPr>
          <w:p w:rsidR="008D0F59" w:rsidRPr="00E47476" w:rsidRDefault="008D0F59" w:rsidP="002D2E52">
            <w:pPr>
              <w:rPr>
                <w:rFonts w:ascii="Arial" w:hAnsi="Arial" w:cs="Arial"/>
              </w:rPr>
            </w:pPr>
            <w:r>
              <w:rPr>
                <w:rFonts w:ascii="Arial" w:hAnsi="Arial" w:cs="Arial"/>
              </w:rPr>
              <w:t>770 mg/m²</w:t>
            </w:r>
          </w:p>
        </w:tc>
        <w:tc>
          <w:tcPr>
            <w:tcW w:w="1909" w:type="dxa"/>
            <w:vAlign w:val="center"/>
          </w:tcPr>
          <w:p w:rsidR="008D0F59" w:rsidRPr="0018219B" w:rsidRDefault="008D0F59" w:rsidP="002D2E52">
            <w:pPr>
              <w:rPr>
                <w:rFonts w:ascii="Arial" w:hAnsi="Arial" w:cs="Arial"/>
                <w:b/>
              </w:rPr>
            </w:pPr>
            <w:r w:rsidRPr="00E47476">
              <w:rPr>
                <w:rFonts w:ascii="Arial" w:hAnsi="Arial" w:cs="Arial"/>
              </w:rPr>
              <w:t>Azoospermie</w:t>
            </w:r>
          </w:p>
        </w:tc>
        <w:tc>
          <w:tcPr>
            <w:tcW w:w="1859" w:type="dxa"/>
            <w:vAlign w:val="center"/>
          </w:tcPr>
          <w:p w:rsidR="008D0F59" w:rsidRPr="00E47476" w:rsidRDefault="008D0F59" w:rsidP="002D2E52">
            <w:pPr>
              <w:rPr>
                <w:rFonts w:ascii="Arial" w:hAnsi="Arial" w:cs="Arial"/>
              </w:rPr>
            </w:pPr>
            <w:r>
              <w:rPr>
                <w:rFonts w:ascii="Arial" w:hAnsi="Arial" w:cs="Arial"/>
              </w:rPr>
              <w:t xml:space="preserve">permanent </w:t>
            </w:r>
          </w:p>
        </w:tc>
      </w:tr>
      <w:tr w:rsidR="008D0F59" w:rsidRPr="00E47476" w:rsidTr="002D2E52">
        <w:trPr>
          <w:trHeight w:val="357"/>
        </w:trPr>
        <w:tc>
          <w:tcPr>
            <w:tcW w:w="2796" w:type="dxa"/>
            <w:gridSpan w:val="2"/>
            <w:vAlign w:val="center"/>
          </w:tcPr>
          <w:p w:rsidR="008D0F59" w:rsidRPr="00E47476" w:rsidRDefault="008D0F59" w:rsidP="000E3C13">
            <w:pPr>
              <w:rPr>
                <w:rFonts w:ascii="Arial" w:hAnsi="Arial" w:cs="Arial"/>
              </w:rPr>
            </w:pPr>
            <w:r w:rsidRPr="00E47476">
              <w:rPr>
                <w:rFonts w:ascii="Arial" w:hAnsi="Arial" w:cs="Arial"/>
              </w:rPr>
              <w:t>Thiotepa</w:t>
            </w:r>
          </w:p>
        </w:tc>
        <w:tc>
          <w:tcPr>
            <w:tcW w:w="2724" w:type="dxa"/>
            <w:vAlign w:val="center"/>
          </w:tcPr>
          <w:p w:rsidR="008D0F59" w:rsidRPr="00E47476" w:rsidRDefault="008D0F59" w:rsidP="000E3C13">
            <w:pPr>
              <w:rPr>
                <w:rFonts w:ascii="Arial" w:hAnsi="Arial" w:cs="Arial"/>
              </w:rPr>
            </w:pPr>
            <w:r>
              <w:rPr>
                <w:rFonts w:ascii="Arial" w:hAnsi="Arial" w:cs="Arial"/>
              </w:rPr>
              <w:t>400 mg/m²</w:t>
            </w:r>
          </w:p>
        </w:tc>
        <w:tc>
          <w:tcPr>
            <w:tcW w:w="1909" w:type="dxa"/>
            <w:vAlign w:val="center"/>
          </w:tcPr>
          <w:p w:rsidR="008D0F59" w:rsidRPr="0018219B" w:rsidRDefault="008D0F59" w:rsidP="000E3C13">
            <w:pPr>
              <w:rPr>
                <w:rFonts w:ascii="Arial" w:hAnsi="Arial" w:cs="Arial"/>
              </w:rPr>
            </w:pPr>
            <w:r w:rsidRPr="00E47476">
              <w:rPr>
                <w:rFonts w:ascii="Arial" w:hAnsi="Arial" w:cs="Arial"/>
              </w:rPr>
              <w:t>Azoospermie</w:t>
            </w:r>
          </w:p>
        </w:tc>
        <w:tc>
          <w:tcPr>
            <w:tcW w:w="1859" w:type="dxa"/>
            <w:vAlign w:val="center"/>
          </w:tcPr>
          <w:p w:rsidR="008D0F59" w:rsidRPr="00E47476" w:rsidRDefault="008D0F59" w:rsidP="000E3C13">
            <w:pPr>
              <w:rPr>
                <w:rFonts w:ascii="Arial" w:hAnsi="Arial" w:cs="Arial"/>
              </w:rPr>
            </w:pPr>
            <w:r>
              <w:rPr>
                <w:rFonts w:ascii="Arial" w:hAnsi="Arial" w:cs="Arial"/>
              </w:rPr>
              <w:t>permanent</w:t>
            </w:r>
          </w:p>
        </w:tc>
      </w:tr>
      <w:tr w:rsidR="008D0F59" w:rsidRPr="00E47476" w:rsidTr="002D2E52">
        <w:trPr>
          <w:trHeight w:val="357"/>
        </w:trPr>
        <w:tc>
          <w:tcPr>
            <w:tcW w:w="2796" w:type="dxa"/>
            <w:gridSpan w:val="2"/>
            <w:vAlign w:val="center"/>
          </w:tcPr>
          <w:p w:rsidR="008D0F59" w:rsidRPr="00E47476" w:rsidRDefault="008D0F59" w:rsidP="0068384F">
            <w:pPr>
              <w:rPr>
                <w:rFonts w:ascii="Arial" w:hAnsi="Arial" w:cs="Arial"/>
              </w:rPr>
            </w:pPr>
            <w:r w:rsidRPr="00E47476">
              <w:rPr>
                <w:rFonts w:ascii="Arial" w:hAnsi="Arial" w:cs="Arial"/>
              </w:rPr>
              <w:t>CytosinArabinosid</w:t>
            </w:r>
          </w:p>
        </w:tc>
        <w:tc>
          <w:tcPr>
            <w:tcW w:w="2724" w:type="dxa"/>
            <w:vAlign w:val="center"/>
          </w:tcPr>
          <w:p w:rsidR="008D0F59" w:rsidRPr="00E47476" w:rsidRDefault="008D0F59" w:rsidP="0068384F">
            <w:pPr>
              <w:rPr>
                <w:rFonts w:ascii="Arial" w:hAnsi="Arial" w:cs="Arial"/>
              </w:rPr>
            </w:pPr>
            <w:r>
              <w:rPr>
                <w:rFonts w:ascii="Arial" w:hAnsi="Arial" w:cs="Arial"/>
              </w:rPr>
              <w:t>1 g/m²</w:t>
            </w:r>
          </w:p>
        </w:tc>
        <w:tc>
          <w:tcPr>
            <w:tcW w:w="1909" w:type="dxa"/>
            <w:vAlign w:val="center"/>
          </w:tcPr>
          <w:p w:rsidR="008D0F59" w:rsidRPr="0018219B" w:rsidRDefault="008D0F59" w:rsidP="0068384F">
            <w:pPr>
              <w:rPr>
                <w:rFonts w:ascii="Arial" w:hAnsi="Arial" w:cs="Arial"/>
              </w:rPr>
            </w:pPr>
            <w:r w:rsidRPr="00E47476">
              <w:rPr>
                <w:rFonts w:ascii="Arial" w:hAnsi="Arial" w:cs="Arial"/>
              </w:rPr>
              <w:t>Azoospermie</w:t>
            </w:r>
          </w:p>
        </w:tc>
        <w:tc>
          <w:tcPr>
            <w:tcW w:w="1859" w:type="dxa"/>
            <w:vAlign w:val="center"/>
          </w:tcPr>
          <w:p w:rsidR="008D0F59" w:rsidRDefault="008D0F59" w:rsidP="002D2E52">
            <w:pPr>
              <w:rPr>
                <w:rFonts w:ascii="Arial" w:hAnsi="Arial" w:cs="Arial"/>
              </w:rPr>
            </w:pPr>
            <w:r>
              <w:rPr>
                <w:rFonts w:ascii="Arial" w:hAnsi="Arial" w:cs="Arial"/>
              </w:rPr>
              <w:t xml:space="preserve">permanent </w:t>
            </w:r>
          </w:p>
        </w:tc>
      </w:tr>
      <w:tr w:rsidR="008D0F59" w:rsidRPr="00E47476" w:rsidTr="002D2E52">
        <w:trPr>
          <w:trHeight w:val="357"/>
        </w:trPr>
        <w:tc>
          <w:tcPr>
            <w:tcW w:w="2796" w:type="dxa"/>
            <w:gridSpan w:val="2"/>
            <w:vAlign w:val="center"/>
          </w:tcPr>
          <w:p w:rsidR="008D0F59" w:rsidRPr="00E47476" w:rsidRDefault="008D0F59" w:rsidP="0068384F">
            <w:pPr>
              <w:rPr>
                <w:rFonts w:ascii="Arial" w:hAnsi="Arial" w:cs="Arial"/>
              </w:rPr>
            </w:pPr>
            <w:r w:rsidRPr="00E47476">
              <w:rPr>
                <w:rFonts w:ascii="Arial" w:hAnsi="Arial" w:cs="Arial"/>
              </w:rPr>
              <w:t>Vinblastine</w:t>
            </w:r>
          </w:p>
        </w:tc>
        <w:tc>
          <w:tcPr>
            <w:tcW w:w="2724" w:type="dxa"/>
            <w:vAlign w:val="center"/>
          </w:tcPr>
          <w:p w:rsidR="008D0F59" w:rsidRPr="00E47476" w:rsidRDefault="008D0F59" w:rsidP="0068384F">
            <w:pPr>
              <w:rPr>
                <w:rFonts w:ascii="Arial" w:hAnsi="Arial" w:cs="Arial"/>
              </w:rPr>
            </w:pPr>
            <w:r>
              <w:rPr>
                <w:rFonts w:ascii="Arial" w:hAnsi="Arial" w:cs="Arial"/>
              </w:rPr>
              <w:t>&gt; 50 mg/m²</w:t>
            </w:r>
          </w:p>
        </w:tc>
        <w:tc>
          <w:tcPr>
            <w:tcW w:w="1909" w:type="dxa"/>
            <w:vAlign w:val="center"/>
          </w:tcPr>
          <w:p w:rsidR="008D0F59" w:rsidRPr="0018219B" w:rsidRDefault="008D0F59" w:rsidP="0068384F">
            <w:pPr>
              <w:rPr>
                <w:rFonts w:ascii="Arial" w:hAnsi="Arial" w:cs="Arial"/>
              </w:rPr>
            </w:pPr>
            <w:r w:rsidRPr="00E47476">
              <w:rPr>
                <w:rFonts w:ascii="Arial" w:hAnsi="Arial" w:cs="Arial"/>
              </w:rPr>
              <w:t>Azoospermie</w:t>
            </w:r>
          </w:p>
        </w:tc>
        <w:tc>
          <w:tcPr>
            <w:tcW w:w="1859" w:type="dxa"/>
            <w:vAlign w:val="center"/>
          </w:tcPr>
          <w:p w:rsidR="008D0F59" w:rsidRDefault="008D0F59" w:rsidP="002D2E52">
            <w:pPr>
              <w:rPr>
                <w:rFonts w:ascii="Arial" w:hAnsi="Arial" w:cs="Arial"/>
              </w:rPr>
            </w:pPr>
            <w:r>
              <w:rPr>
                <w:rFonts w:ascii="Arial" w:hAnsi="Arial" w:cs="Arial"/>
              </w:rPr>
              <w:t xml:space="preserve">permanent </w:t>
            </w:r>
          </w:p>
        </w:tc>
      </w:tr>
      <w:tr w:rsidR="008D0F59" w:rsidRPr="00E47476" w:rsidTr="002D2E52">
        <w:trPr>
          <w:trHeight w:val="357"/>
        </w:trPr>
        <w:tc>
          <w:tcPr>
            <w:tcW w:w="2796" w:type="dxa"/>
            <w:gridSpan w:val="2"/>
            <w:vAlign w:val="center"/>
          </w:tcPr>
          <w:p w:rsidR="008D0F59" w:rsidRPr="00E47476" w:rsidRDefault="008D0F59" w:rsidP="009D16B5">
            <w:pPr>
              <w:rPr>
                <w:rFonts w:ascii="Arial" w:hAnsi="Arial" w:cs="Arial"/>
              </w:rPr>
            </w:pPr>
            <w:r w:rsidRPr="00E47476">
              <w:rPr>
                <w:rFonts w:ascii="Arial" w:hAnsi="Arial" w:cs="Arial"/>
              </w:rPr>
              <w:t>Methotrexat</w:t>
            </w:r>
          </w:p>
        </w:tc>
        <w:tc>
          <w:tcPr>
            <w:tcW w:w="2724" w:type="dxa"/>
            <w:vAlign w:val="center"/>
          </w:tcPr>
          <w:p w:rsidR="008D0F59" w:rsidRDefault="008D0F59" w:rsidP="002D2E52">
            <w:pPr>
              <w:rPr>
                <w:rFonts w:ascii="Arial" w:hAnsi="Arial" w:cs="Arial"/>
              </w:rPr>
            </w:pPr>
          </w:p>
        </w:tc>
        <w:tc>
          <w:tcPr>
            <w:tcW w:w="1909" w:type="dxa"/>
            <w:vAlign w:val="center"/>
          </w:tcPr>
          <w:p w:rsidR="008D0F59" w:rsidRPr="00E47476" w:rsidRDefault="008D0F59"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 xml:space="preserve">reversibel </w:t>
            </w:r>
          </w:p>
        </w:tc>
      </w:tr>
      <w:tr w:rsidR="008D0F59" w:rsidRPr="00E47476" w:rsidTr="002D2E52">
        <w:trPr>
          <w:trHeight w:val="357"/>
        </w:trPr>
        <w:tc>
          <w:tcPr>
            <w:tcW w:w="2796" w:type="dxa"/>
            <w:gridSpan w:val="2"/>
            <w:vAlign w:val="center"/>
          </w:tcPr>
          <w:p w:rsidR="008D0F59" w:rsidRPr="00E47476" w:rsidRDefault="008D0F59" w:rsidP="009D16B5">
            <w:pPr>
              <w:rPr>
                <w:rFonts w:ascii="Arial" w:hAnsi="Arial" w:cs="Arial"/>
              </w:rPr>
            </w:pPr>
            <w:r w:rsidRPr="00E47476">
              <w:rPr>
                <w:rFonts w:ascii="Arial" w:hAnsi="Arial" w:cs="Arial"/>
              </w:rPr>
              <w:t>Mercaptopurin</w:t>
            </w:r>
          </w:p>
        </w:tc>
        <w:tc>
          <w:tcPr>
            <w:tcW w:w="2724" w:type="dxa"/>
            <w:vAlign w:val="center"/>
          </w:tcPr>
          <w:p w:rsidR="008D0F59" w:rsidRDefault="008D0F59" w:rsidP="002D2E52">
            <w:pPr>
              <w:rPr>
                <w:rFonts w:ascii="Arial" w:hAnsi="Arial" w:cs="Arial"/>
              </w:rPr>
            </w:pPr>
          </w:p>
        </w:tc>
        <w:tc>
          <w:tcPr>
            <w:tcW w:w="1909" w:type="dxa"/>
            <w:vAlign w:val="center"/>
          </w:tcPr>
          <w:p w:rsidR="008D0F59" w:rsidRPr="00E47476" w:rsidRDefault="008D0F59"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reversibel</w:t>
            </w:r>
          </w:p>
        </w:tc>
      </w:tr>
      <w:tr w:rsidR="008D0F59" w:rsidRPr="00E47476" w:rsidTr="002D2E52">
        <w:trPr>
          <w:trHeight w:val="357"/>
        </w:trPr>
        <w:tc>
          <w:tcPr>
            <w:tcW w:w="2796" w:type="dxa"/>
            <w:gridSpan w:val="2"/>
            <w:vAlign w:val="center"/>
          </w:tcPr>
          <w:p w:rsidR="008D0F59" w:rsidRPr="00E47476" w:rsidRDefault="008D0F59" w:rsidP="009D16B5">
            <w:pPr>
              <w:rPr>
                <w:rFonts w:ascii="Arial" w:hAnsi="Arial" w:cs="Arial"/>
              </w:rPr>
            </w:pPr>
            <w:r w:rsidRPr="00E47476">
              <w:rPr>
                <w:rFonts w:ascii="Arial" w:hAnsi="Arial" w:cs="Arial"/>
              </w:rPr>
              <w:t>Vincristin</w:t>
            </w:r>
          </w:p>
        </w:tc>
        <w:tc>
          <w:tcPr>
            <w:tcW w:w="2724" w:type="dxa"/>
            <w:vAlign w:val="center"/>
          </w:tcPr>
          <w:p w:rsidR="008D0F59" w:rsidRDefault="008D0F59" w:rsidP="002D2E52">
            <w:pPr>
              <w:rPr>
                <w:rFonts w:ascii="Arial" w:hAnsi="Arial" w:cs="Arial"/>
              </w:rPr>
            </w:pPr>
          </w:p>
        </w:tc>
        <w:tc>
          <w:tcPr>
            <w:tcW w:w="1909" w:type="dxa"/>
            <w:vAlign w:val="center"/>
          </w:tcPr>
          <w:p w:rsidR="008D0F59" w:rsidRPr="00E47476" w:rsidRDefault="008D0F59"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reversibel</w:t>
            </w:r>
          </w:p>
        </w:tc>
      </w:tr>
      <w:tr w:rsidR="008D0F59" w:rsidRPr="00E47476" w:rsidTr="002D2E52">
        <w:trPr>
          <w:trHeight w:val="357"/>
        </w:trPr>
        <w:tc>
          <w:tcPr>
            <w:tcW w:w="2796" w:type="dxa"/>
            <w:gridSpan w:val="2"/>
            <w:vAlign w:val="center"/>
          </w:tcPr>
          <w:p w:rsidR="008D0F59" w:rsidRPr="00E47476" w:rsidRDefault="008D0F59" w:rsidP="009D16B5">
            <w:pPr>
              <w:rPr>
                <w:rFonts w:ascii="Arial" w:hAnsi="Arial" w:cs="Arial"/>
              </w:rPr>
            </w:pPr>
            <w:r w:rsidRPr="00E47476">
              <w:rPr>
                <w:rFonts w:ascii="Arial" w:hAnsi="Arial" w:cs="Arial"/>
              </w:rPr>
              <w:t>Vinblastin</w:t>
            </w:r>
          </w:p>
        </w:tc>
        <w:tc>
          <w:tcPr>
            <w:tcW w:w="2724" w:type="dxa"/>
            <w:vAlign w:val="center"/>
          </w:tcPr>
          <w:p w:rsidR="008D0F59" w:rsidRDefault="008D0F59" w:rsidP="002D2E52">
            <w:pPr>
              <w:rPr>
                <w:rFonts w:ascii="Arial" w:hAnsi="Arial" w:cs="Arial"/>
              </w:rPr>
            </w:pPr>
          </w:p>
        </w:tc>
        <w:tc>
          <w:tcPr>
            <w:tcW w:w="1909" w:type="dxa"/>
            <w:vAlign w:val="center"/>
          </w:tcPr>
          <w:p w:rsidR="008D0F59" w:rsidRPr="00E47476" w:rsidRDefault="008D0F59"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reversibel</w:t>
            </w:r>
          </w:p>
        </w:tc>
      </w:tr>
      <w:tr w:rsidR="008D0F59" w:rsidRPr="00E47476" w:rsidTr="002D2E52">
        <w:trPr>
          <w:trHeight w:val="357"/>
        </w:trPr>
        <w:tc>
          <w:tcPr>
            <w:tcW w:w="2796" w:type="dxa"/>
            <w:gridSpan w:val="2"/>
            <w:vAlign w:val="center"/>
          </w:tcPr>
          <w:p w:rsidR="008D0F59" w:rsidRPr="00E47476" w:rsidRDefault="008D0F59" w:rsidP="009D16B5">
            <w:pPr>
              <w:rPr>
                <w:rFonts w:ascii="Arial" w:hAnsi="Arial" w:cs="Arial"/>
              </w:rPr>
            </w:pPr>
            <w:r w:rsidRPr="00E47476">
              <w:rPr>
                <w:rFonts w:ascii="Arial" w:hAnsi="Arial" w:cs="Arial"/>
              </w:rPr>
              <w:t>Bleomycin</w:t>
            </w:r>
          </w:p>
        </w:tc>
        <w:tc>
          <w:tcPr>
            <w:tcW w:w="2724" w:type="dxa"/>
            <w:vAlign w:val="center"/>
          </w:tcPr>
          <w:p w:rsidR="008D0F59" w:rsidRDefault="008D0F59" w:rsidP="002D2E52">
            <w:pPr>
              <w:rPr>
                <w:rFonts w:ascii="Arial" w:hAnsi="Arial" w:cs="Arial"/>
              </w:rPr>
            </w:pPr>
          </w:p>
        </w:tc>
        <w:tc>
          <w:tcPr>
            <w:tcW w:w="1909" w:type="dxa"/>
            <w:vAlign w:val="center"/>
          </w:tcPr>
          <w:p w:rsidR="008D0F59" w:rsidRPr="00E47476" w:rsidRDefault="008D0F59"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reversibel</w:t>
            </w:r>
          </w:p>
        </w:tc>
      </w:tr>
      <w:tr w:rsidR="008D0F59" w:rsidRPr="00E47476" w:rsidTr="002D2E52">
        <w:trPr>
          <w:trHeight w:val="357"/>
        </w:trPr>
        <w:tc>
          <w:tcPr>
            <w:tcW w:w="2796" w:type="dxa"/>
            <w:gridSpan w:val="2"/>
            <w:vAlign w:val="center"/>
          </w:tcPr>
          <w:p w:rsidR="008D0F59" w:rsidRPr="00E47476" w:rsidRDefault="008D0F59" w:rsidP="009D16B5">
            <w:pPr>
              <w:rPr>
                <w:rFonts w:ascii="Arial" w:hAnsi="Arial" w:cs="Arial"/>
              </w:rPr>
            </w:pPr>
            <w:r w:rsidRPr="00E47476">
              <w:rPr>
                <w:rFonts w:ascii="Arial" w:hAnsi="Arial" w:cs="Arial"/>
              </w:rPr>
              <w:t>Dactinomysin</w:t>
            </w:r>
          </w:p>
        </w:tc>
        <w:tc>
          <w:tcPr>
            <w:tcW w:w="2724" w:type="dxa"/>
            <w:vAlign w:val="center"/>
          </w:tcPr>
          <w:p w:rsidR="008D0F59" w:rsidRDefault="008D0F59" w:rsidP="002D2E52">
            <w:pPr>
              <w:rPr>
                <w:rFonts w:ascii="Arial" w:hAnsi="Arial" w:cs="Arial"/>
              </w:rPr>
            </w:pPr>
          </w:p>
        </w:tc>
        <w:tc>
          <w:tcPr>
            <w:tcW w:w="1909" w:type="dxa"/>
            <w:vAlign w:val="center"/>
          </w:tcPr>
          <w:p w:rsidR="008D0F59" w:rsidRPr="00E47476" w:rsidRDefault="008D0F59"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reversibel</w:t>
            </w:r>
          </w:p>
        </w:tc>
      </w:tr>
      <w:tr w:rsidR="008D0F59" w:rsidRPr="00E47476" w:rsidTr="002D2E52">
        <w:trPr>
          <w:trHeight w:val="357"/>
        </w:trPr>
        <w:tc>
          <w:tcPr>
            <w:tcW w:w="2796" w:type="dxa"/>
            <w:gridSpan w:val="2"/>
            <w:vAlign w:val="center"/>
          </w:tcPr>
          <w:p w:rsidR="008D0F59" w:rsidRPr="00E47476" w:rsidRDefault="00D008B6" w:rsidP="009D16B5">
            <w:pPr>
              <w:rPr>
                <w:rFonts w:ascii="Arial" w:hAnsi="Arial" w:cs="Arial"/>
              </w:rPr>
            </w:pPr>
            <w:r>
              <w:rPr>
                <w:rFonts w:ascii="Arial" w:hAnsi="Arial" w:cs="Arial"/>
              </w:rPr>
              <w:t>Prednisolon</w:t>
            </w:r>
          </w:p>
        </w:tc>
        <w:tc>
          <w:tcPr>
            <w:tcW w:w="2724" w:type="dxa"/>
            <w:vAlign w:val="center"/>
          </w:tcPr>
          <w:p w:rsidR="008D0F59" w:rsidRDefault="001E7EED" w:rsidP="002D2E52">
            <w:pPr>
              <w:rPr>
                <w:rFonts w:ascii="Arial" w:hAnsi="Arial" w:cs="Arial"/>
              </w:rPr>
            </w:pPr>
            <w:r>
              <w:rPr>
                <w:rFonts w:ascii="Arial" w:hAnsi="Arial" w:cs="Arial"/>
              </w:rPr>
              <w:t>30 mg/Tag</w:t>
            </w:r>
          </w:p>
        </w:tc>
        <w:tc>
          <w:tcPr>
            <w:tcW w:w="1909" w:type="dxa"/>
            <w:vAlign w:val="center"/>
          </w:tcPr>
          <w:p w:rsidR="008D0F59" w:rsidRPr="00E47476" w:rsidRDefault="00D008B6" w:rsidP="002D2E52">
            <w:pPr>
              <w:rPr>
                <w:rFonts w:ascii="Arial" w:hAnsi="Arial" w:cs="Arial"/>
              </w:rPr>
            </w:pPr>
            <w:r>
              <w:rPr>
                <w:rFonts w:ascii="Arial" w:hAnsi="Arial" w:cs="Arial"/>
              </w:rPr>
              <w:t>Subfertilität</w:t>
            </w:r>
          </w:p>
        </w:tc>
        <w:tc>
          <w:tcPr>
            <w:tcW w:w="1859" w:type="dxa"/>
            <w:vAlign w:val="center"/>
          </w:tcPr>
          <w:p w:rsidR="008D0F59" w:rsidRDefault="00D008B6" w:rsidP="002D2E52">
            <w:pPr>
              <w:rPr>
                <w:rFonts w:ascii="Arial" w:hAnsi="Arial" w:cs="Arial"/>
              </w:rPr>
            </w:pPr>
            <w:r>
              <w:rPr>
                <w:rFonts w:ascii="Arial" w:hAnsi="Arial" w:cs="Arial"/>
              </w:rPr>
              <w:t>reversibel</w:t>
            </w:r>
          </w:p>
        </w:tc>
      </w:tr>
      <w:tr w:rsidR="006558BA" w:rsidTr="00B12C54">
        <w:trPr>
          <w:trHeight w:val="357"/>
        </w:trPr>
        <w:tc>
          <w:tcPr>
            <w:tcW w:w="2796" w:type="dxa"/>
            <w:gridSpan w:val="2"/>
            <w:vAlign w:val="center"/>
          </w:tcPr>
          <w:p w:rsidR="006558BA" w:rsidRPr="001E7EED" w:rsidRDefault="006558BA" w:rsidP="00B12C54">
            <w:pPr>
              <w:rPr>
                <w:rFonts w:ascii="Arial" w:hAnsi="Arial" w:cs="Arial"/>
                <w:highlight w:val="cyan"/>
              </w:rPr>
            </w:pPr>
            <w:r w:rsidRPr="006558BA">
              <w:rPr>
                <w:rFonts w:ascii="Arial" w:hAnsi="Arial" w:cs="Arial"/>
              </w:rPr>
              <w:t>Carboplatin</w:t>
            </w:r>
          </w:p>
        </w:tc>
        <w:tc>
          <w:tcPr>
            <w:tcW w:w="2724" w:type="dxa"/>
            <w:vAlign w:val="center"/>
          </w:tcPr>
          <w:p w:rsidR="006558BA" w:rsidRPr="001E7EED" w:rsidRDefault="006558BA" w:rsidP="00B12C54">
            <w:pPr>
              <w:rPr>
                <w:rFonts w:ascii="Arial" w:hAnsi="Arial" w:cs="Arial"/>
                <w:highlight w:val="cyan"/>
              </w:rPr>
            </w:pPr>
          </w:p>
        </w:tc>
        <w:tc>
          <w:tcPr>
            <w:tcW w:w="1909" w:type="dxa"/>
            <w:vAlign w:val="center"/>
          </w:tcPr>
          <w:p w:rsidR="006558BA" w:rsidRPr="00E47476" w:rsidRDefault="006558BA" w:rsidP="00B12C54">
            <w:pPr>
              <w:rPr>
                <w:rFonts w:ascii="Arial" w:hAnsi="Arial" w:cs="Arial"/>
              </w:rPr>
            </w:pPr>
            <w:r>
              <w:rPr>
                <w:rFonts w:ascii="Arial" w:hAnsi="Arial" w:cs="Arial"/>
              </w:rPr>
              <w:t>Azoospermie</w:t>
            </w:r>
          </w:p>
        </w:tc>
        <w:tc>
          <w:tcPr>
            <w:tcW w:w="1859" w:type="dxa"/>
            <w:vAlign w:val="center"/>
          </w:tcPr>
          <w:p w:rsidR="006558BA" w:rsidRDefault="006558BA" w:rsidP="00B12C54">
            <w:pPr>
              <w:rPr>
                <w:rFonts w:ascii="Arial" w:hAnsi="Arial" w:cs="Arial"/>
              </w:rPr>
            </w:pPr>
            <w:r>
              <w:rPr>
                <w:rFonts w:ascii="Arial" w:hAnsi="Arial" w:cs="Arial"/>
              </w:rPr>
              <w:t xml:space="preserve">variabel; </w:t>
            </w:r>
            <w:r w:rsidRPr="006558BA">
              <w:rPr>
                <w:rFonts w:ascii="Arial" w:hAnsi="Arial" w:cs="Arial"/>
              </w:rPr>
              <w:t>ungeklärter Langzeiteffekt</w:t>
            </w:r>
          </w:p>
        </w:tc>
      </w:tr>
    </w:tbl>
    <w:p w:rsidR="00E47476" w:rsidRPr="00E47476" w:rsidRDefault="00E47476" w:rsidP="00E47476">
      <w:pPr>
        <w:ind w:left="705" w:hanging="705"/>
        <w:rPr>
          <w:rFonts w:ascii="Arial" w:hAnsi="Arial" w:cs="Arial"/>
          <w:b/>
        </w:rPr>
      </w:pPr>
    </w:p>
    <w:p w:rsidR="001A7F59" w:rsidRDefault="001A7F59" w:rsidP="00E47476">
      <w:pPr>
        <w:ind w:left="705" w:hanging="705"/>
        <w:rPr>
          <w:rFonts w:ascii="Arial" w:hAnsi="Arial" w:cs="Arial"/>
          <w:b/>
        </w:rPr>
      </w:pPr>
    </w:p>
    <w:p w:rsidR="00E47476" w:rsidRDefault="00E47476" w:rsidP="00E47476">
      <w:pPr>
        <w:ind w:left="705" w:hanging="705"/>
        <w:rPr>
          <w:rFonts w:ascii="Arial" w:hAnsi="Arial" w:cs="Arial"/>
          <w:b/>
        </w:rPr>
      </w:pPr>
      <w:r w:rsidRPr="00E47476">
        <w:rPr>
          <w:rFonts w:ascii="Arial" w:hAnsi="Arial" w:cs="Arial"/>
          <w:b/>
        </w:rPr>
        <w:t>Tabelle 3: Steckbriefe der gängigen fertilitätserhaltenden Maßnahmen</w:t>
      </w:r>
    </w:p>
    <w:p w:rsidR="001A7F59" w:rsidRPr="001A7F59" w:rsidRDefault="001A7F59" w:rsidP="00E47476">
      <w:pPr>
        <w:ind w:left="705" w:hanging="705"/>
        <w:rPr>
          <w:rFonts w:ascii="Arial" w:hAnsi="Arial" w:cs="Arial"/>
          <w:b/>
          <w:sz w:val="8"/>
          <w:szCs w:val="8"/>
        </w:rPr>
      </w:pPr>
    </w:p>
    <w:tbl>
      <w:tblPr>
        <w:tblStyle w:val="Tabellengitternetz"/>
        <w:tblW w:w="9351" w:type="dxa"/>
        <w:tblLook w:val="04A0"/>
      </w:tblPr>
      <w:tblGrid>
        <w:gridCol w:w="2050"/>
        <w:gridCol w:w="2226"/>
        <w:gridCol w:w="1515"/>
        <w:gridCol w:w="1495"/>
        <w:gridCol w:w="2065"/>
      </w:tblGrid>
      <w:tr w:rsidR="00E47476" w:rsidRPr="00E47476" w:rsidTr="001E7EED">
        <w:trPr>
          <w:trHeight w:val="635"/>
        </w:trPr>
        <w:tc>
          <w:tcPr>
            <w:tcW w:w="1555" w:type="dxa"/>
            <w:shd w:val="clear" w:color="auto" w:fill="D9D9D9" w:themeFill="background1" w:themeFillShade="D9"/>
            <w:vAlign w:val="center"/>
          </w:tcPr>
          <w:p w:rsidR="00E47476" w:rsidRPr="00E47476" w:rsidRDefault="00E47476" w:rsidP="009545C7">
            <w:pPr>
              <w:jc w:val="both"/>
              <w:rPr>
                <w:rFonts w:ascii="Arial" w:hAnsi="Arial" w:cs="Arial"/>
                <w:b/>
              </w:rPr>
            </w:pPr>
            <w:r w:rsidRPr="00E47476">
              <w:rPr>
                <w:rFonts w:ascii="Arial" w:hAnsi="Arial" w:cs="Arial"/>
                <w:b/>
              </w:rPr>
              <w:t>Maßnahme</w:t>
            </w:r>
          </w:p>
        </w:tc>
        <w:tc>
          <w:tcPr>
            <w:tcW w:w="2835" w:type="dxa"/>
            <w:shd w:val="clear" w:color="auto" w:fill="D9D9D9" w:themeFill="background1" w:themeFillShade="D9"/>
            <w:vAlign w:val="center"/>
          </w:tcPr>
          <w:p w:rsidR="00E47476" w:rsidRPr="00E47476" w:rsidRDefault="00E47476" w:rsidP="009545C7">
            <w:pPr>
              <w:jc w:val="both"/>
              <w:rPr>
                <w:rFonts w:ascii="Arial" w:hAnsi="Arial" w:cs="Arial"/>
                <w:b/>
              </w:rPr>
            </w:pPr>
            <w:r w:rsidRPr="00E47476">
              <w:rPr>
                <w:rFonts w:ascii="Arial" w:hAnsi="Arial" w:cs="Arial"/>
                <w:b/>
              </w:rPr>
              <w:t xml:space="preserve">Kurzbeschreibung, </w:t>
            </w:r>
          </w:p>
          <w:p w:rsidR="00E47476" w:rsidRPr="00E47476" w:rsidRDefault="00E47476" w:rsidP="009545C7">
            <w:pPr>
              <w:jc w:val="both"/>
              <w:rPr>
                <w:rFonts w:ascii="Arial" w:hAnsi="Arial" w:cs="Arial"/>
                <w:b/>
              </w:rPr>
            </w:pPr>
            <w:r w:rsidRPr="00E47476">
              <w:rPr>
                <w:rFonts w:ascii="Arial" w:hAnsi="Arial" w:cs="Arial"/>
                <w:b/>
              </w:rPr>
              <w:t>Nebenwirkungen</w:t>
            </w:r>
          </w:p>
        </w:tc>
        <w:tc>
          <w:tcPr>
            <w:tcW w:w="1782" w:type="dxa"/>
            <w:shd w:val="clear" w:color="auto" w:fill="D9D9D9" w:themeFill="background1" w:themeFillShade="D9"/>
            <w:vAlign w:val="center"/>
          </w:tcPr>
          <w:p w:rsidR="00E47476" w:rsidRPr="00E47476" w:rsidRDefault="00E47476" w:rsidP="009545C7">
            <w:pPr>
              <w:rPr>
                <w:rFonts w:ascii="Arial" w:hAnsi="Arial" w:cs="Arial"/>
                <w:b/>
              </w:rPr>
            </w:pPr>
            <w:r w:rsidRPr="00E47476">
              <w:rPr>
                <w:rFonts w:ascii="Arial" w:hAnsi="Arial" w:cs="Arial"/>
                <w:b/>
              </w:rPr>
              <w:t>Bereits Standard? Erfolgsrate?</w:t>
            </w:r>
          </w:p>
        </w:tc>
        <w:tc>
          <w:tcPr>
            <w:tcW w:w="0" w:type="auto"/>
            <w:shd w:val="clear" w:color="auto" w:fill="D9D9D9" w:themeFill="background1" w:themeFillShade="D9"/>
            <w:vAlign w:val="center"/>
          </w:tcPr>
          <w:p w:rsidR="00E47476" w:rsidRPr="00E47476" w:rsidRDefault="00E47476" w:rsidP="009545C7">
            <w:pPr>
              <w:rPr>
                <w:rFonts w:ascii="Arial" w:hAnsi="Arial" w:cs="Arial"/>
                <w:b/>
              </w:rPr>
            </w:pPr>
            <w:r w:rsidRPr="00E47476">
              <w:rPr>
                <w:rFonts w:ascii="Arial" w:hAnsi="Arial" w:cs="Arial"/>
                <w:b/>
              </w:rPr>
              <w:t xml:space="preserve">Zeitlicher </w:t>
            </w:r>
          </w:p>
          <w:p w:rsidR="00E47476" w:rsidRPr="00E47476" w:rsidRDefault="00E47476" w:rsidP="009545C7">
            <w:pPr>
              <w:rPr>
                <w:rFonts w:ascii="Arial" w:hAnsi="Arial" w:cs="Arial"/>
                <w:b/>
              </w:rPr>
            </w:pPr>
            <w:r w:rsidRPr="00E47476">
              <w:rPr>
                <w:rFonts w:ascii="Arial" w:hAnsi="Arial" w:cs="Arial"/>
                <w:b/>
              </w:rPr>
              <w:t xml:space="preserve">Aufwand für </w:t>
            </w:r>
          </w:p>
          <w:p w:rsidR="00E47476" w:rsidRPr="00E47476" w:rsidRDefault="00E47476" w:rsidP="009545C7">
            <w:pPr>
              <w:rPr>
                <w:rFonts w:ascii="Arial" w:hAnsi="Arial" w:cs="Arial"/>
                <w:b/>
              </w:rPr>
            </w:pPr>
            <w:r w:rsidRPr="00E47476">
              <w:rPr>
                <w:rFonts w:ascii="Arial" w:hAnsi="Arial" w:cs="Arial"/>
                <w:b/>
              </w:rPr>
              <w:t>Patienten</w:t>
            </w:r>
          </w:p>
        </w:tc>
        <w:tc>
          <w:tcPr>
            <w:tcW w:w="1586" w:type="dxa"/>
            <w:shd w:val="clear" w:color="auto" w:fill="D9D9D9" w:themeFill="background1" w:themeFillShade="D9"/>
            <w:vAlign w:val="center"/>
          </w:tcPr>
          <w:p w:rsidR="00E47476" w:rsidRPr="00E47476" w:rsidRDefault="00E47476" w:rsidP="009545C7">
            <w:pPr>
              <w:jc w:val="both"/>
              <w:rPr>
                <w:rFonts w:ascii="Arial" w:hAnsi="Arial" w:cs="Arial"/>
                <w:b/>
                <w:highlight w:val="yellow"/>
              </w:rPr>
            </w:pPr>
            <w:r w:rsidRPr="00E47476">
              <w:rPr>
                <w:rFonts w:ascii="Arial" w:hAnsi="Arial" w:cs="Arial"/>
                <w:b/>
              </w:rPr>
              <w:t>Kosten (ca.)</w:t>
            </w:r>
          </w:p>
        </w:tc>
      </w:tr>
      <w:tr w:rsidR="00E47476" w:rsidRPr="00E47476" w:rsidTr="009545C7">
        <w:trPr>
          <w:trHeight w:val="1574"/>
        </w:trPr>
        <w:tc>
          <w:tcPr>
            <w:tcW w:w="1555" w:type="dxa"/>
          </w:tcPr>
          <w:p w:rsidR="00E47476" w:rsidRPr="00E47476" w:rsidRDefault="00E47476" w:rsidP="009545C7">
            <w:pPr>
              <w:rPr>
                <w:rFonts w:ascii="Arial" w:hAnsi="Arial" w:cs="Arial"/>
                <w:b/>
              </w:rPr>
            </w:pPr>
            <w:r w:rsidRPr="00E47476">
              <w:rPr>
                <w:rFonts w:ascii="Arial" w:hAnsi="Arial" w:cs="Arial"/>
                <w:b/>
              </w:rPr>
              <w:t>Kryokonservierung von Spermien</w:t>
            </w:r>
          </w:p>
        </w:tc>
        <w:tc>
          <w:tcPr>
            <w:tcW w:w="2835" w:type="dxa"/>
          </w:tcPr>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Männliche Keimzellen (Spermien) können vor einer Chemo- oder Strahlentherapie kryokonserviert (eingefroren) werden und im Fall eines Funktionsverlustes der männlichen Keimdrüsen (Hoden) verwendet werden, um ein eigenes Kind zu zeugen.</w:t>
            </w:r>
          </w:p>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Nicht geeignet für präpubertären Jungen</w:t>
            </w:r>
          </w:p>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Keine Risiken</w:t>
            </w:r>
          </w:p>
          <w:p w:rsidR="00E47476" w:rsidRPr="00E47476" w:rsidRDefault="00E47476" w:rsidP="009545C7">
            <w:pPr>
              <w:rPr>
                <w:rFonts w:ascii="Arial" w:hAnsi="Arial" w:cs="Arial"/>
              </w:rPr>
            </w:pPr>
          </w:p>
        </w:tc>
        <w:tc>
          <w:tcPr>
            <w:tcW w:w="1782" w:type="dxa"/>
          </w:tcPr>
          <w:p w:rsidR="00E47476" w:rsidRPr="00E47476" w:rsidRDefault="00E47476" w:rsidP="009545C7">
            <w:pPr>
              <w:rPr>
                <w:rFonts w:ascii="Arial" w:hAnsi="Arial" w:cs="Arial"/>
              </w:rPr>
            </w:pPr>
            <w:r w:rsidRPr="00E47476">
              <w:rPr>
                <w:rFonts w:ascii="Arial" w:hAnsi="Arial" w:cs="Arial"/>
              </w:rPr>
              <w:t xml:space="preserve">Etabliert seit Jahrzehnten </w:t>
            </w:r>
          </w:p>
        </w:tc>
        <w:tc>
          <w:tcPr>
            <w:tcW w:w="0" w:type="auto"/>
          </w:tcPr>
          <w:p w:rsidR="00E47476" w:rsidRPr="00E47476" w:rsidRDefault="00E47476" w:rsidP="009545C7">
            <w:pPr>
              <w:jc w:val="both"/>
              <w:rPr>
                <w:rFonts w:ascii="Arial" w:hAnsi="Arial" w:cs="Arial"/>
              </w:rPr>
            </w:pPr>
            <w:r w:rsidRPr="00E47476">
              <w:rPr>
                <w:rFonts w:ascii="Arial" w:hAnsi="Arial" w:cs="Arial"/>
              </w:rPr>
              <w:t>Bei schlechter Samenqualität ggf. Pooling notwendig: ca. 1 Woche</w:t>
            </w:r>
          </w:p>
        </w:tc>
        <w:tc>
          <w:tcPr>
            <w:tcW w:w="1586" w:type="dxa"/>
          </w:tcPr>
          <w:p w:rsidR="00E47476" w:rsidRPr="00E47476" w:rsidRDefault="00E47476" w:rsidP="009545C7">
            <w:pPr>
              <w:rPr>
                <w:rFonts w:ascii="Arial" w:hAnsi="Arial" w:cs="Arial"/>
              </w:rPr>
            </w:pPr>
            <w:r w:rsidRPr="00E47476">
              <w:rPr>
                <w:rFonts w:ascii="Arial" w:hAnsi="Arial" w:cs="Arial"/>
              </w:rPr>
              <w:t xml:space="preserve">Kryokonservierung (Einfrieren) 400 €, Lagerung pro Jahr ca. 300 € </w:t>
            </w:r>
          </w:p>
        </w:tc>
      </w:tr>
      <w:tr w:rsidR="00E47476" w:rsidRPr="00E47476" w:rsidTr="009545C7">
        <w:trPr>
          <w:trHeight w:val="627"/>
        </w:trPr>
        <w:tc>
          <w:tcPr>
            <w:tcW w:w="1555" w:type="dxa"/>
          </w:tcPr>
          <w:p w:rsidR="00E47476" w:rsidRPr="00E47476" w:rsidRDefault="00E47476" w:rsidP="009545C7">
            <w:pPr>
              <w:jc w:val="both"/>
              <w:rPr>
                <w:rFonts w:ascii="Arial" w:hAnsi="Arial" w:cs="Arial"/>
                <w:b/>
              </w:rPr>
            </w:pPr>
            <w:r w:rsidRPr="00E47476">
              <w:rPr>
                <w:rFonts w:ascii="Arial" w:hAnsi="Arial" w:cs="Arial"/>
                <w:b/>
              </w:rPr>
              <w:t>Kryokonservierung von Hodengewebe</w:t>
            </w:r>
          </w:p>
        </w:tc>
        <w:tc>
          <w:tcPr>
            <w:tcW w:w="2835" w:type="dxa"/>
          </w:tcPr>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 xml:space="preserve">Sollten im Ejakulat keine Spermien vorhanden sein (Azoospermie), kann auch Hodengewebe </w:t>
            </w:r>
            <w:r w:rsidRPr="00E47476">
              <w:rPr>
                <w:rFonts w:ascii="Arial" w:hAnsi="Arial" w:cs="Arial"/>
                <w:sz w:val="20"/>
                <w:szCs w:val="20"/>
              </w:rPr>
              <w:lastRenderedPageBreak/>
              <w:t>eingefroren werden.</w:t>
            </w:r>
          </w:p>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Auch bei präpubertären Jungen anwendbar.</w:t>
            </w:r>
          </w:p>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Risiken: operativer Eingriff</w:t>
            </w:r>
          </w:p>
          <w:p w:rsidR="00E47476" w:rsidRPr="00E47476" w:rsidRDefault="00E47476" w:rsidP="009545C7">
            <w:pPr>
              <w:pStyle w:val="Listenabsatz"/>
              <w:spacing w:after="0" w:line="240" w:lineRule="auto"/>
              <w:ind w:left="181"/>
              <w:rPr>
                <w:rFonts w:ascii="Arial" w:hAnsi="Arial" w:cs="Arial"/>
                <w:sz w:val="20"/>
                <w:szCs w:val="20"/>
              </w:rPr>
            </w:pPr>
          </w:p>
        </w:tc>
        <w:tc>
          <w:tcPr>
            <w:tcW w:w="1782" w:type="dxa"/>
          </w:tcPr>
          <w:p w:rsidR="00E47476" w:rsidRPr="00E47476" w:rsidRDefault="00E47476" w:rsidP="009545C7">
            <w:pPr>
              <w:rPr>
                <w:rFonts w:ascii="Arial" w:hAnsi="Arial" w:cs="Arial"/>
              </w:rPr>
            </w:pPr>
            <w:r w:rsidRPr="00E47476">
              <w:rPr>
                <w:rFonts w:ascii="Arial" w:hAnsi="Arial" w:cs="Arial"/>
              </w:rPr>
              <w:lastRenderedPageBreak/>
              <w:t xml:space="preserve">Experimentell </w:t>
            </w:r>
          </w:p>
          <w:p w:rsidR="00E47476" w:rsidRPr="00E47476" w:rsidRDefault="00E47476" w:rsidP="009545C7">
            <w:pPr>
              <w:rPr>
                <w:rFonts w:ascii="Arial" w:hAnsi="Arial" w:cs="Arial"/>
              </w:rPr>
            </w:pPr>
          </w:p>
        </w:tc>
        <w:tc>
          <w:tcPr>
            <w:tcW w:w="0" w:type="auto"/>
          </w:tcPr>
          <w:p w:rsidR="00E47476" w:rsidRPr="00E47476" w:rsidRDefault="00E47476" w:rsidP="009545C7">
            <w:pPr>
              <w:jc w:val="both"/>
              <w:rPr>
                <w:rFonts w:ascii="Arial" w:hAnsi="Arial" w:cs="Arial"/>
              </w:rPr>
            </w:pPr>
            <w:r w:rsidRPr="00E47476">
              <w:rPr>
                <w:rFonts w:ascii="Arial" w:hAnsi="Arial" w:cs="Arial"/>
              </w:rPr>
              <w:t>Ca. 1-2 Tage</w:t>
            </w:r>
          </w:p>
        </w:tc>
        <w:tc>
          <w:tcPr>
            <w:tcW w:w="1586" w:type="dxa"/>
          </w:tcPr>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Operativer Eingriff wird von Krankenkasse übernommen.</w:t>
            </w:r>
          </w:p>
          <w:p w:rsidR="00E47476" w:rsidRPr="00E47476" w:rsidRDefault="00E47476" w:rsidP="009545C7">
            <w:pPr>
              <w:pStyle w:val="Listenabsatz"/>
              <w:numPr>
                <w:ilvl w:val="0"/>
                <w:numId w:val="3"/>
              </w:numPr>
              <w:spacing w:after="0" w:line="240" w:lineRule="auto"/>
              <w:ind w:left="181" w:hanging="181"/>
              <w:rPr>
                <w:rFonts w:ascii="Arial" w:hAnsi="Arial" w:cs="Arial"/>
                <w:sz w:val="20"/>
                <w:szCs w:val="20"/>
              </w:rPr>
            </w:pPr>
            <w:r w:rsidRPr="00E47476">
              <w:rPr>
                <w:rFonts w:ascii="Arial" w:hAnsi="Arial" w:cs="Arial"/>
                <w:sz w:val="20"/>
                <w:szCs w:val="20"/>
              </w:rPr>
              <w:t xml:space="preserve">Kryokonservierung (Einfrieren) 400 €, </w:t>
            </w:r>
            <w:r w:rsidRPr="00E47476">
              <w:rPr>
                <w:rFonts w:ascii="Arial" w:hAnsi="Arial" w:cs="Arial"/>
                <w:sz w:val="20"/>
                <w:szCs w:val="20"/>
              </w:rPr>
              <w:lastRenderedPageBreak/>
              <w:t>Lagerung pro Jahr ca. 300 €</w:t>
            </w:r>
          </w:p>
        </w:tc>
      </w:tr>
    </w:tbl>
    <w:p w:rsidR="00E47476" w:rsidRPr="00E47476" w:rsidRDefault="00E47476" w:rsidP="00E47476">
      <w:pPr>
        <w:ind w:left="705" w:hanging="705"/>
        <w:rPr>
          <w:rFonts w:ascii="Arial" w:hAnsi="Arial" w:cs="Arial"/>
          <w:b/>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Pr="00E47476" w:rsidRDefault="003257BB">
      <w:pPr>
        <w:rPr>
          <w:rFonts w:ascii="Arial" w:hAnsi="Arial" w:cs="Arial"/>
        </w:rPr>
      </w:pPr>
    </w:p>
    <w:p w:rsidR="003257BB" w:rsidRDefault="003257BB"/>
    <w:p w:rsidR="003257BB" w:rsidRDefault="003257BB"/>
    <w:p w:rsidR="003257BB" w:rsidRDefault="003257BB"/>
    <w:p w:rsidR="003257BB" w:rsidRDefault="003257BB"/>
    <w:p w:rsidR="003257BB" w:rsidRDefault="003257BB"/>
    <w:p w:rsidR="003257BB" w:rsidRDefault="003257BB"/>
    <w:p w:rsidR="003257BB" w:rsidRDefault="003257BB"/>
    <w:p w:rsidR="003257BB" w:rsidRDefault="003257BB"/>
    <w:p w:rsidR="003257BB" w:rsidRDefault="003257BB"/>
    <w:p w:rsidR="003257BB" w:rsidRDefault="003257BB"/>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p w:rsidR="00C4374C" w:rsidRDefault="00C4374C" w:rsidP="00C4374C">
      <w:pPr>
        <w:ind w:left="705" w:hanging="705"/>
        <w:rPr>
          <w:rFonts w:ascii="Arial" w:hAnsi="Arial" w:cs="Arial"/>
          <w:b/>
          <w:sz w:val="24"/>
        </w:rPr>
      </w:pPr>
      <w:r w:rsidRPr="00C4374C">
        <w:rPr>
          <w:rFonts w:ascii="Arial" w:hAnsi="Arial" w:cs="Arial"/>
          <w:b/>
          <w:sz w:val="24"/>
        </w:rPr>
        <w:t>Anlage C) Literatur</w:t>
      </w:r>
    </w:p>
    <w:p w:rsidR="00C4374C" w:rsidRPr="00C4374C" w:rsidRDefault="00C4374C" w:rsidP="00C4374C">
      <w:pPr>
        <w:ind w:left="705" w:hanging="705"/>
        <w:rPr>
          <w:rFonts w:ascii="Arial" w:hAnsi="Arial" w:cs="Arial"/>
          <w:b/>
          <w:sz w:val="24"/>
        </w:rPr>
      </w:pPr>
    </w:p>
    <w:p w:rsidR="00C4374C" w:rsidRPr="00C4374C" w:rsidRDefault="00C4374C" w:rsidP="00C4374C">
      <w:pPr>
        <w:pStyle w:val="Listenabsatz"/>
        <w:numPr>
          <w:ilvl w:val="0"/>
          <w:numId w:val="7"/>
        </w:numPr>
        <w:ind w:left="426" w:hanging="426"/>
        <w:jc w:val="both"/>
        <w:rPr>
          <w:rFonts w:ascii="Arial" w:hAnsi="Arial" w:cs="Arial"/>
          <w:sz w:val="20"/>
          <w:szCs w:val="20"/>
          <w:lang w:val="en-US"/>
        </w:rPr>
      </w:pPr>
      <w:r w:rsidRPr="00C4374C">
        <w:rPr>
          <w:rFonts w:ascii="Arial" w:hAnsi="Arial" w:cs="Arial"/>
          <w:sz w:val="20"/>
          <w:szCs w:val="20"/>
          <w:lang w:val="en-US"/>
        </w:rPr>
        <w:t>Lee et al, American Society of Clinical Oncology recommendations on fertility preservation in cancer patients, J Clin Oncol 2006.</w:t>
      </w:r>
    </w:p>
    <w:p w:rsidR="00C4374C" w:rsidRPr="00C4374C" w:rsidRDefault="00C4374C" w:rsidP="00C4374C">
      <w:pPr>
        <w:pStyle w:val="Listenabsatz"/>
        <w:numPr>
          <w:ilvl w:val="0"/>
          <w:numId w:val="7"/>
        </w:numPr>
        <w:ind w:left="426" w:hanging="426"/>
        <w:rPr>
          <w:rFonts w:ascii="Arial" w:hAnsi="Arial" w:cs="Arial"/>
          <w:sz w:val="20"/>
          <w:szCs w:val="20"/>
          <w:lang w:val="en-US"/>
        </w:rPr>
      </w:pPr>
      <w:r w:rsidRPr="00C4374C">
        <w:rPr>
          <w:rFonts w:ascii="Arial" w:hAnsi="Arial" w:cs="Arial"/>
          <w:sz w:val="20"/>
          <w:szCs w:val="20"/>
          <w:lang w:val="en-US"/>
        </w:rPr>
        <w:t>Dittrich et al, Techniques of fertility preservation. An update. Gynakologische Praxis 2015.</w:t>
      </w:r>
    </w:p>
    <w:p w:rsidR="00C4374C" w:rsidRPr="00C4374C" w:rsidRDefault="00C4374C" w:rsidP="00C4374C">
      <w:pPr>
        <w:pStyle w:val="Listenabsatz"/>
        <w:numPr>
          <w:ilvl w:val="0"/>
          <w:numId w:val="7"/>
        </w:numPr>
        <w:ind w:left="426" w:hanging="426"/>
        <w:jc w:val="both"/>
        <w:rPr>
          <w:rFonts w:ascii="Arial" w:hAnsi="Arial" w:cs="Arial"/>
          <w:sz w:val="20"/>
          <w:szCs w:val="20"/>
          <w:lang w:val="en-US"/>
        </w:rPr>
      </w:pPr>
      <w:r w:rsidRPr="00C4374C">
        <w:rPr>
          <w:rFonts w:ascii="Arial" w:hAnsi="Arial" w:cs="Arial"/>
          <w:sz w:val="20"/>
          <w:szCs w:val="20"/>
          <w:lang w:val="en-US"/>
        </w:rPr>
        <w:t>Lambertini et al, Cancer and fertility preservation: international recommendations from an expert meeting, BMC Med 2016.</w:t>
      </w:r>
    </w:p>
    <w:p w:rsidR="00C4374C" w:rsidRPr="00C4374C" w:rsidRDefault="00C4374C" w:rsidP="00C4374C">
      <w:pPr>
        <w:pStyle w:val="Listenabsatz"/>
        <w:numPr>
          <w:ilvl w:val="0"/>
          <w:numId w:val="7"/>
        </w:numPr>
        <w:ind w:left="426" w:hanging="426"/>
        <w:jc w:val="both"/>
        <w:rPr>
          <w:rFonts w:ascii="Arial" w:hAnsi="Arial" w:cs="Arial"/>
          <w:sz w:val="20"/>
          <w:szCs w:val="20"/>
          <w:lang w:val="en-US"/>
        </w:rPr>
      </w:pPr>
      <w:r w:rsidRPr="00C4374C">
        <w:rPr>
          <w:rFonts w:ascii="Arial" w:hAnsi="Arial" w:cs="Arial"/>
          <w:sz w:val="20"/>
          <w:szCs w:val="20"/>
          <w:lang w:val="en-US"/>
        </w:rPr>
        <w:t xml:space="preserve">Wallace et al, Predicting age of ovarian failure after radiation to a field that includes the ovaries. Int J Radiat Oncol Biol Phys, 2005. </w:t>
      </w:r>
    </w:p>
    <w:p w:rsidR="00C4374C" w:rsidRPr="00C4374C" w:rsidRDefault="00C4374C" w:rsidP="00C4374C">
      <w:pPr>
        <w:pStyle w:val="Listenabsatz"/>
        <w:numPr>
          <w:ilvl w:val="0"/>
          <w:numId w:val="7"/>
        </w:numPr>
        <w:ind w:left="426" w:hanging="426"/>
        <w:jc w:val="both"/>
        <w:rPr>
          <w:rFonts w:ascii="Arial" w:hAnsi="Arial" w:cs="Arial"/>
          <w:sz w:val="20"/>
          <w:szCs w:val="20"/>
          <w:lang w:val="en-US"/>
        </w:rPr>
      </w:pPr>
      <w:r w:rsidRPr="00C4374C">
        <w:rPr>
          <w:rFonts w:ascii="Arial" w:hAnsi="Arial" w:cs="Arial"/>
          <w:sz w:val="20"/>
          <w:szCs w:val="20"/>
          <w:lang w:val="en-US"/>
        </w:rPr>
        <w:t xml:space="preserve">Meistrich et al, Effects of chemotherapy and radiotherapy on spermatogenesis in humans. Fertil Steril, 2013. </w:t>
      </w:r>
    </w:p>
    <w:p w:rsidR="00C4374C" w:rsidRPr="00C4374C" w:rsidRDefault="00C4374C" w:rsidP="00C4374C">
      <w:pPr>
        <w:pStyle w:val="Listenabsatz"/>
        <w:numPr>
          <w:ilvl w:val="0"/>
          <w:numId w:val="7"/>
        </w:numPr>
        <w:ind w:left="426" w:hanging="426"/>
        <w:jc w:val="both"/>
        <w:rPr>
          <w:rFonts w:ascii="Arial" w:hAnsi="Arial" w:cs="Arial"/>
          <w:sz w:val="20"/>
          <w:szCs w:val="20"/>
          <w:lang w:val="en-US"/>
        </w:rPr>
      </w:pPr>
      <w:r w:rsidRPr="00C4374C">
        <w:rPr>
          <w:rFonts w:ascii="Arial" w:hAnsi="Arial" w:cs="Arial"/>
          <w:sz w:val="20"/>
          <w:szCs w:val="20"/>
          <w:lang w:val="en-US"/>
        </w:rPr>
        <w:t xml:space="preserve">Jahnukainen et al, Testicular function and fertility preservation in male cancer patients. Best Pract Res Clin Endocrinol Metab, 2011. </w:t>
      </w:r>
    </w:p>
    <w:p w:rsidR="00C4374C" w:rsidRDefault="00C4374C"/>
    <w:sectPr w:rsidR="00C4374C" w:rsidSect="009D5A85">
      <w:headerReference w:type="default" r:id="rId9"/>
      <w:footerReference w:type="default" r:id="rId10"/>
      <w:headerReference w:type="first" r:id="rId11"/>
      <w:footerReference w:type="first" r:id="rId12"/>
      <w:pgSz w:w="11906" w:h="16838"/>
      <w:pgMar w:top="2029"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D7" w:rsidRDefault="00DC6BD7" w:rsidP="003257BB">
      <w:r>
        <w:separator/>
      </w:r>
    </w:p>
  </w:endnote>
  <w:endnote w:type="continuationSeparator" w:id="0">
    <w:p w:rsidR="00DC6BD7" w:rsidRDefault="00DC6BD7" w:rsidP="003257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 LT Book">
    <w:altName w:val="Bell MT"/>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Pr="006F4769" w:rsidRDefault="00ED7D84"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3257BB" w:rsidRPr="00A25C39">
      <w:rPr>
        <w:rFonts w:ascii="Arial" w:hAnsi="Arial" w:cs="Arial"/>
        <w:sz w:val="14"/>
        <w:szCs w:val="14"/>
      </w:rPr>
      <w:instrText xml:space="preserve"> FILENAME </w:instrText>
    </w:r>
    <w:r>
      <w:rPr>
        <w:rFonts w:ascii="Arial" w:hAnsi="Arial" w:cs="Arial"/>
        <w:sz w:val="14"/>
        <w:szCs w:val="14"/>
      </w:rPr>
      <w:fldChar w:fldCharType="separate"/>
    </w:r>
    <w:r w:rsidR="004C0D2D">
      <w:rPr>
        <w:rFonts w:ascii="Arial" w:hAnsi="Arial" w:cs="Arial"/>
        <w:noProof/>
        <w:sz w:val="14"/>
        <w:szCs w:val="14"/>
      </w:rPr>
      <w:t>SOP Fertilitätserhalt_161101</w:t>
    </w:r>
    <w:r>
      <w:rPr>
        <w:rFonts w:ascii="Arial" w:hAnsi="Arial" w:cs="Arial"/>
        <w:sz w:val="14"/>
        <w:szCs w:val="14"/>
      </w:rPr>
      <w:fldChar w:fldCharType="end"/>
    </w:r>
    <w:r w:rsidR="003257BB" w:rsidRPr="00A25C39">
      <w:rPr>
        <w:rFonts w:ascii="Arial" w:hAnsi="Arial" w:cs="Arial"/>
        <w:sz w:val="14"/>
        <w:szCs w:val="14"/>
      </w:rPr>
      <w:tab/>
    </w:r>
    <w:r w:rsidR="00B81F65">
      <w:rPr>
        <w:rFonts w:ascii="Arial" w:hAnsi="Arial" w:cs="Arial"/>
        <w:sz w:val="14"/>
        <w:szCs w:val="14"/>
      </w:rPr>
      <w:t>© 2016</w:t>
    </w:r>
    <w:r w:rsidR="00B81F65" w:rsidRPr="006A6DD2">
      <w:rPr>
        <w:rFonts w:ascii="Arial" w:hAnsi="Arial" w:cs="Arial"/>
        <w:sz w:val="14"/>
        <w:szCs w:val="14"/>
      </w:rPr>
      <w:t xml:space="preserve"> </w:t>
    </w:r>
    <w:r w:rsidR="00B81F65" w:rsidRPr="00B81F65">
      <w:rPr>
        <w:rFonts w:ascii="Arial" w:hAnsi="Arial" w:cs="Arial"/>
        <w:sz w:val="14"/>
        <w:szCs w:val="14"/>
      </w:rPr>
      <w:t>CCC Erlangen-EMN</w:t>
    </w:r>
    <w:r w:rsidR="00B81F65">
      <w:rPr>
        <w:rFonts w:ascii="Arial" w:hAnsi="Arial" w:cs="Arial"/>
        <w:sz w:val="14"/>
        <w:szCs w:val="14"/>
      </w:rPr>
      <w:t xml:space="preserve">/ </w:t>
    </w:r>
    <w:r w:rsidR="00B81F65" w:rsidRPr="006A6DD2">
      <w:rPr>
        <w:rFonts w:ascii="Arial" w:hAnsi="Arial" w:cs="Arial"/>
        <w:sz w:val="14"/>
        <w:szCs w:val="14"/>
      </w:rPr>
      <w:t xml:space="preserve">DKG </w:t>
    </w:r>
    <w:r w:rsidR="00B81F65">
      <w:rPr>
        <w:rFonts w:ascii="Arial" w:hAnsi="Arial" w:cs="Arial"/>
        <w:sz w:val="14"/>
        <w:szCs w:val="14"/>
      </w:rPr>
      <w:t xml:space="preserve">alle Rechte vorbehalten </w:t>
    </w:r>
    <w:r w:rsidR="00B81F65" w:rsidRPr="006A6DD2">
      <w:rPr>
        <w:rFonts w:ascii="Arial" w:hAnsi="Arial" w:cs="Arial"/>
        <w:sz w:val="14"/>
        <w:szCs w:val="14"/>
      </w:rPr>
      <w:t xml:space="preserve">  </w:t>
    </w:r>
    <w:r w:rsidR="003257BB">
      <w:rPr>
        <w:rFonts w:ascii="Arial" w:hAnsi="Arial" w:cs="Arial"/>
        <w:sz w:val="14"/>
        <w:szCs w:val="14"/>
      </w:rPr>
      <w:tab/>
      <w:t xml:space="preserve">Seite </w:t>
    </w:r>
    <w:r>
      <w:rPr>
        <w:rStyle w:val="Seitenzahl"/>
        <w:rFonts w:ascii="Arial" w:hAnsi="Arial" w:cs="Arial"/>
        <w:sz w:val="14"/>
        <w:szCs w:val="14"/>
      </w:rPr>
      <w:fldChar w:fldCharType="begin"/>
    </w:r>
    <w:r w:rsidR="003257BB">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0D097F">
      <w:rPr>
        <w:rStyle w:val="Seitenzahl"/>
        <w:rFonts w:ascii="Arial" w:hAnsi="Arial" w:cs="Arial"/>
        <w:noProof/>
        <w:sz w:val="14"/>
        <w:szCs w:val="14"/>
      </w:rPr>
      <w:t>2</w:t>
    </w:r>
    <w:r>
      <w:rPr>
        <w:rStyle w:val="Seitenzahl"/>
        <w:rFonts w:ascii="Arial" w:hAnsi="Arial" w:cs="Arial"/>
        <w:sz w:val="14"/>
        <w:szCs w:val="14"/>
      </w:rPr>
      <w:fldChar w:fldCharType="end"/>
    </w:r>
    <w:r w:rsidR="003257BB">
      <w:rPr>
        <w:rStyle w:val="Seitenzahl"/>
        <w:rFonts w:ascii="Arial" w:hAnsi="Arial" w:cs="Arial"/>
        <w:sz w:val="14"/>
        <w:szCs w:val="14"/>
      </w:rPr>
      <w:t xml:space="preserve"> von </w:t>
    </w:r>
    <w:r>
      <w:rPr>
        <w:rStyle w:val="Seitenzahl"/>
        <w:rFonts w:ascii="Arial" w:hAnsi="Arial" w:cs="Arial"/>
        <w:sz w:val="14"/>
        <w:szCs w:val="14"/>
      </w:rPr>
      <w:fldChar w:fldCharType="begin"/>
    </w:r>
    <w:r w:rsidR="003257BB">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0D097F">
      <w:rPr>
        <w:rStyle w:val="Seitenzahl"/>
        <w:rFonts w:ascii="Arial" w:hAnsi="Arial" w:cs="Arial"/>
        <w:noProof/>
        <w:sz w:val="14"/>
        <w:szCs w:val="14"/>
      </w:rPr>
      <w:t>8</w:t>
    </w:r>
    <w:r>
      <w:rPr>
        <w:rStyle w:val="Seitenzahl"/>
        <w:rFonts w:ascii="Arial" w:hAnsi="Arial" w:cs="Arial"/>
        <w:sz w:val="14"/>
        <w:szCs w:val="14"/>
      </w:rPr>
      <w:fldChar w:fldCharType="end"/>
    </w:r>
  </w:p>
  <w:p w:rsidR="003257BB" w:rsidRDefault="003257B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5" w:rsidRPr="006F4769" w:rsidRDefault="00ED7D84"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9D5A85" w:rsidRPr="00A25C39">
      <w:rPr>
        <w:rFonts w:ascii="Arial" w:hAnsi="Arial" w:cs="Arial"/>
        <w:sz w:val="14"/>
        <w:szCs w:val="14"/>
      </w:rPr>
      <w:instrText xml:space="preserve"> FILENAME </w:instrText>
    </w:r>
    <w:r>
      <w:rPr>
        <w:rFonts w:ascii="Arial" w:hAnsi="Arial" w:cs="Arial"/>
        <w:sz w:val="14"/>
        <w:szCs w:val="14"/>
      </w:rPr>
      <w:fldChar w:fldCharType="separate"/>
    </w:r>
    <w:r w:rsidR="009D5A85">
      <w:rPr>
        <w:rFonts w:ascii="Arial" w:hAnsi="Arial" w:cs="Arial"/>
        <w:noProof/>
        <w:sz w:val="14"/>
        <w:szCs w:val="14"/>
      </w:rPr>
      <w:t>SOP Fertilitätserhalt_161101</w:t>
    </w:r>
    <w:r>
      <w:rPr>
        <w:rFonts w:ascii="Arial" w:hAnsi="Arial" w:cs="Arial"/>
        <w:sz w:val="14"/>
        <w:szCs w:val="14"/>
      </w:rPr>
      <w:fldChar w:fldCharType="end"/>
    </w:r>
    <w:r w:rsidR="009D5A85" w:rsidRPr="00A25C39">
      <w:rPr>
        <w:rFonts w:ascii="Arial" w:hAnsi="Arial" w:cs="Arial"/>
        <w:sz w:val="14"/>
        <w:szCs w:val="14"/>
      </w:rPr>
      <w:tab/>
    </w:r>
    <w:r w:rsidR="009D5A85">
      <w:rPr>
        <w:rFonts w:ascii="Arial" w:hAnsi="Arial" w:cs="Arial"/>
        <w:sz w:val="14"/>
        <w:szCs w:val="14"/>
      </w:rPr>
      <w:t>© 2016</w:t>
    </w:r>
    <w:r w:rsidR="009D5A85" w:rsidRPr="006A6DD2">
      <w:rPr>
        <w:rFonts w:ascii="Arial" w:hAnsi="Arial" w:cs="Arial"/>
        <w:sz w:val="14"/>
        <w:szCs w:val="14"/>
      </w:rPr>
      <w:t xml:space="preserve"> </w:t>
    </w:r>
    <w:r w:rsidR="00B81F65" w:rsidRPr="00B81F65">
      <w:rPr>
        <w:rFonts w:ascii="Arial" w:hAnsi="Arial" w:cs="Arial"/>
        <w:sz w:val="14"/>
        <w:szCs w:val="14"/>
      </w:rPr>
      <w:t>CCC Erlangen-EMN</w:t>
    </w:r>
    <w:r w:rsidR="009D5A85">
      <w:rPr>
        <w:rFonts w:ascii="Arial" w:hAnsi="Arial" w:cs="Arial"/>
        <w:sz w:val="14"/>
        <w:szCs w:val="14"/>
      </w:rPr>
      <w:t>/</w:t>
    </w:r>
    <w:r w:rsidR="00B81F65">
      <w:rPr>
        <w:rFonts w:ascii="Arial" w:hAnsi="Arial" w:cs="Arial"/>
        <w:sz w:val="14"/>
        <w:szCs w:val="14"/>
      </w:rPr>
      <w:t xml:space="preserve"> </w:t>
    </w:r>
    <w:r w:rsidR="009D5A85" w:rsidRPr="006A6DD2">
      <w:rPr>
        <w:rFonts w:ascii="Arial" w:hAnsi="Arial" w:cs="Arial"/>
        <w:sz w:val="14"/>
        <w:szCs w:val="14"/>
      </w:rPr>
      <w:t xml:space="preserve">DKG </w:t>
    </w:r>
    <w:r w:rsidR="009D5A85">
      <w:rPr>
        <w:rFonts w:ascii="Arial" w:hAnsi="Arial" w:cs="Arial"/>
        <w:sz w:val="14"/>
        <w:szCs w:val="14"/>
      </w:rPr>
      <w:t xml:space="preserve">alle Rechte vorbehalten </w:t>
    </w:r>
    <w:r w:rsidR="009D5A85" w:rsidRPr="006A6DD2">
      <w:rPr>
        <w:rFonts w:ascii="Arial" w:hAnsi="Arial" w:cs="Arial"/>
        <w:sz w:val="14"/>
        <w:szCs w:val="14"/>
      </w:rPr>
      <w:t xml:space="preserve">  </w:t>
    </w:r>
    <w:r w:rsidR="009D5A85">
      <w:rPr>
        <w:rFonts w:ascii="Arial" w:hAnsi="Arial" w:cs="Arial"/>
        <w:sz w:val="14"/>
        <w:szCs w:val="14"/>
      </w:rPr>
      <w:tab/>
      <w:t xml:space="preserve">Seite </w:t>
    </w:r>
    <w:r>
      <w:rPr>
        <w:rStyle w:val="Seitenzahl"/>
        <w:rFonts w:ascii="Arial" w:hAnsi="Arial" w:cs="Arial"/>
        <w:sz w:val="14"/>
        <w:szCs w:val="14"/>
      </w:rPr>
      <w:fldChar w:fldCharType="begin"/>
    </w:r>
    <w:r w:rsidR="009D5A85">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0D097F">
      <w:rPr>
        <w:rStyle w:val="Seitenzahl"/>
        <w:rFonts w:ascii="Arial" w:hAnsi="Arial" w:cs="Arial"/>
        <w:noProof/>
        <w:sz w:val="14"/>
        <w:szCs w:val="14"/>
      </w:rPr>
      <w:t>1</w:t>
    </w:r>
    <w:r>
      <w:rPr>
        <w:rStyle w:val="Seitenzahl"/>
        <w:rFonts w:ascii="Arial" w:hAnsi="Arial" w:cs="Arial"/>
        <w:sz w:val="14"/>
        <w:szCs w:val="14"/>
      </w:rPr>
      <w:fldChar w:fldCharType="end"/>
    </w:r>
    <w:r w:rsidR="009D5A85">
      <w:rPr>
        <w:rStyle w:val="Seitenzahl"/>
        <w:rFonts w:ascii="Arial" w:hAnsi="Arial" w:cs="Arial"/>
        <w:sz w:val="14"/>
        <w:szCs w:val="14"/>
      </w:rPr>
      <w:t xml:space="preserve"> von </w:t>
    </w:r>
    <w:r>
      <w:rPr>
        <w:rStyle w:val="Seitenzahl"/>
        <w:rFonts w:ascii="Arial" w:hAnsi="Arial" w:cs="Arial"/>
        <w:sz w:val="14"/>
        <w:szCs w:val="14"/>
      </w:rPr>
      <w:fldChar w:fldCharType="begin"/>
    </w:r>
    <w:r w:rsidR="009D5A85">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0D097F">
      <w:rPr>
        <w:rStyle w:val="Seitenzahl"/>
        <w:rFonts w:ascii="Arial" w:hAnsi="Arial" w:cs="Arial"/>
        <w:noProof/>
        <w:sz w:val="14"/>
        <w:szCs w:val="14"/>
      </w:rPr>
      <w:t>8</w:t>
    </w:r>
    <w:r>
      <w:rPr>
        <w:rStyle w:val="Seitenzahl"/>
        <w:rFonts w:ascii="Arial" w:hAnsi="Arial" w:cs="Arial"/>
        <w:sz w:val="14"/>
        <w:szCs w:val="14"/>
      </w:rPr>
      <w:fldChar w:fldCharType="end"/>
    </w:r>
  </w:p>
  <w:p w:rsidR="009D5A85" w:rsidRDefault="009D5A8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D7" w:rsidRDefault="00DC6BD7" w:rsidP="003257BB">
      <w:r>
        <w:separator/>
      </w:r>
    </w:p>
  </w:footnote>
  <w:footnote w:type="continuationSeparator" w:id="0">
    <w:p w:rsidR="00DC6BD7" w:rsidRDefault="00DC6BD7" w:rsidP="00325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Default="003257BB">
    <w:pPr>
      <w:pStyle w:val="Kopfzeile"/>
    </w:pPr>
    <w:r w:rsidRPr="003257BB">
      <w:rPr>
        <w:noProof/>
        <w:lang w:bidi="ar-SA"/>
      </w:rPr>
      <w:drawing>
        <wp:inline distT="0" distB="0" distL="0" distR="0">
          <wp:extent cx="1721159" cy="685800"/>
          <wp:effectExtent l="19050" t="0" r="0" b="0"/>
          <wp:docPr id="2"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2D" w:rsidRDefault="004C0D2D">
    <w:pPr>
      <w:pStyle w:val="Kopfzeile"/>
    </w:pPr>
    <w:r w:rsidRPr="004C0D2D">
      <w:rPr>
        <w:noProof/>
        <w:lang w:bidi="ar-SA"/>
      </w:rPr>
      <w:drawing>
        <wp:inline distT="0" distB="0" distL="0" distR="0">
          <wp:extent cx="1721159" cy="685800"/>
          <wp:effectExtent l="19050" t="0" r="0" b="0"/>
          <wp:docPr id="1"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ED7D84">
      <w:rPr>
        <w:noProof/>
        <w:lang w:bidi="ar-SA"/>
      </w:rPr>
      <w:pict>
        <v:shapetype id="_x0000_t202" coordsize="21600,21600" o:spt="202" path="m,l,21600r21600,l21600,xe">
          <v:stroke joinstyle="miter"/>
          <v:path gradientshapeok="t" o:connecttype="rect"/>
        </v:shapetype>
        <v:shape id="_x0000_s3075" type="#_x0000_t202" style="position:absolute;margin-left:281.25pt;margin-top:-19.3pt;width:180.55pt;height:84.65pt;z-index:251658240;mso-width-percent:400;mso-position-horizontal-relative:text;mso-position-vertical-relative:text;mso-width-percent:400;mso-width-relative:margin;mso-height-relative:margin">
          <v:textbox style="mso-next-textbox:#_x0000_s3075">
            <w:txbxContent>
              <w:p w:rsidR="004C0D2D" w:rsidRDefault="004C0D2D" w:rsidP="004C0D2D">
                <w:pPr>
                  <w:jc w:val="center"/>
                  <w:rPr>
                    <w:rFonts w:ascii="Arial" w:hAnsi="Arial" w:cs="Arial"/>
                    <w:sz w:val="12"/>
                  </w:rPr>
                </w:pPr>
              </w:p>
              <w:p w:rsidR="004C0D2D" w:rsidRPr="004C0D2D" w:rsidRDefault="00ED7D84" w:rsidP="004C0D2D">
                <w:pPr>
                  <w:jc w:val="center"/>
                  <w:rPr>
                    <w:rFonts w:ascii="Arial" w:hAnsi="Arial" w:cs="Arial"/>
                    <w:sz w:val="12"/>
                  </w:rPr>
                </w:pPr>
                <w:sdt>
                  <w:sdtPr>
                    <w:rPr>
                      <w:rFonts w:ascii="Arial" w:hAnsi="Arial" w:cs="Arial"/>
                      <w:sz w:val="12"/>
                    </w:rPr>
                    <w:id w:val="21472275"/>
                    <w:showingPlcHdr/>
                    <w:picture/>
                  </w:sdtPr>
                  <w:sdtContent>
                    <w:r w:rsidR="00C450A7">
                      <w:rPr>
                        <w:rFonts w:ascii="Arial" w:hAnsi="Arial" w:cs="Arial"/>
                        <w:noProof/>
                        <w:sz w:val="12"/>
                        <w:lang w:bidi="ar-SA"/>
                      </w:rPr>
                      <w:drawing>
                        <wp:inline distT="0" distB="0" distL="0" distR="0">
                          <wp:extent cx="2055284" cy="970032"/>
                          <wp:effectExtent l="19050" t="0" r="2116"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055284" cy="970032"/>
                                  </a:xfrm>
                                  <a:prstGeom prst="rect">
                                    <a:avLst/>
                                  </a:prstGeom>
                                  <a:noFill/>
                                  <a:ln w="9525">
                                    <a:noFill/>
                                    <a:miter lim="800000"/>
                                    <a:headEnd/>
                                    <a:tailEnd/>
                                  </a:ln>
                                </pic:spPr>
                              </pic:pic>
                            </a:graphicData>
                          </a:graphic>
                        </wp:inline>
                      </w:drawing>
                    </w:r>
                  </w:sdtContent>
                </w:sdt>
                <w:r w:rsidR="004C0D2D" w:rsidRPr="004C0D2D">
                  <w:rPr>
                    <w:rFonts w:ascii="Arial" w:hAnsi="Arial" w:cs="Arial"/>
                    <w:sz w:val="12"/>
                  </w:rPr>
                  <w:t>Klinikstempel/Logo</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A66"/>
    <w:multiLevelType w:val="hybridMultilevel"/>
    <w:tmpl w:val="4EE41400"/>
    <w:lvl w:ilvl="0" w:tplc="4E546EB4">
      <w:start w:val="3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5B514D"/>
    <w:multiLevelType w:val="hybridMultilevel"/>
    <w:tmpl w:val="A0461B8E"/>
    <w:lvl w:ilvl="0" w:tplc="064C0A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7726A7"/>
    <w:multiLevelType w:val="hybridMultilevel"/>
    <w:tmpl w:val="69346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C4F138F"/>
    <w:multiLevelType w:val="hybridMultilevel"/>
    <w:tmpl w:val="FCD88A50"/>
    <w:lvl w:ilvl="0" w:tplc="064C0A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AB76F4"/>
    <w:multiLevelType w:val="hybridMultilevel"/>
    <w:tmpl w:val="8E60A5C0"/>
    <w:lvl w:ilvl="0" w:tplc="4E546EB4">
      <w:start w:val="3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2FC6FA2"/>
    <w:multiLevelType w:val="hybridMultilevel"/>
    <w:tmpl w:val="9AD46462"/>
    <w:lvl w:ilvl="0" w:tplc="F1CA54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readOnly" w:enforcement="1"/>
  <w:defaultTabStop w:val="708"/>
  <w:hyphenationZone w:val="425"/>
  <w:drawingGridHorizontalSpacing w:val="100"/>
  <w:displayHorizontalDrawingGridEvery w:val="2"/>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3257BB"/>
    <w:rsid w:val="000106D0"/>
    <w:rsid w:val="000D097F"/>
    <w:rsid w:val="0018219B"/>
    <w:rsid w:val="001A7F59"/>
    <w:rsid w:val="001E7EED"/>
    <w:rsid w:val="00230271"/>
    <w:rsid w:val="002B0ABB"/>
    <w:rsid w:val="002D2E52"/>
    <w:rsid w:val="00322885"/>
    <w:rsid w:val="003257BB"/>
    <w:rsid w:val="00325969"/>
    <w:rsid w:val="00327BC3"/>
    <w:rsid w:val="003F507D"/>
    <w:rsid w:val="004670B3"/>
    <w:rsid w:val="004C0D2D"/>
    <w:rsid w:val="004C15A6"/>
    <w:rsid w:val="005355F4"/>
    <w:rsid w:val="005524D6"/>
    <w:rsid w:val="006558BA"/>
    <w:rsid w:val="0080265D"/>
    <w:rsid w:val="00862835"/>
    <w:rsid w:val="008D0F59"/>
    <w:rsid w:val="009634A0"/>
    <w:rsid w:val="00966564"/>
    <w:rsid w:val="00966720"/>
    <w:rsid w:val="009D5A85"/>
    <w:rsid w:val="009E6422"/>
    <w:rsid w:val="00A6142F"/>
    <w:rsid w:val="00A86017"/>
    <w:rsid w:val="00AE12A4"/>
    <w:rsid w:val="00B8016B"/>
    <w:rsid w:val="00B81F65"/>
    <w:rsid w:val="00BE0302"/>
    <w:rsid w:val="00C4374C"/>
    <w:rsid w:val="00C450A7"/>
    <w:rsid w:val="00D008B6"/>
    <w:rsid w:val="00D142F4"/>
    <w:rsid w:val="00D92249"/>
    <w:rsid w:val="00DC6BD7"/>
    <w:rsid w:val="00E47476"/>
    <w:rsid w:val="00E8778F"/>
    <w:rsid w:val="00ED7D84"/>
    <w:rsid w:val="00F20101"/>
    <w:rsid w:val="00F47AC1"/>
    <w:rsid w:val="00F660D9"/>
    <w:rsid w:val="00F707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57BB"/>
    <w:pPr>
      <w:spacing w:after="0" w:line="240" w:lineRule="auto"/>
    </w:pPr>
    <w:rPr>
      <w:rFonts w:ascii="Times New Roman" w:eastAsia="Times New Roman" w:hAnsi="Times New Roman" w:cs="Times New Roman"/>
      <w:sz w:val="20"/>
      <w:szCs w:val="20"/>
      <w:lang w:eastAsia="de-DE" w:bidi="he-IL"/>
    </w:rPr>
  </w:style>
  <w:style w:type="paragraph" w:styleId="berschrift2">
    <w:name w:val="heading 2"/>
    <w:basedOn w:val="Standard"/>
    <w:next w:val="Standard"/>
    <w:link w:val="berschrift2Zchn"/>
    <w:qFormat/>
    <w:rsid w:val="003257BB"/>
    <w:pPr>
      <w:spacing w:before="120"/>
      <w:outlineLvl w:val="1"/>
    </w:pPr>
    <w:rPr>
      <w:rFonts w:ascii="Arial" w:hAnsi="Arial"/>
      <w:b/>
      <w:sz w:val="24"/>
      <w:lang w:bidi="ar-SA"/>
    </w:rPr>
  </w:style>
  <w:style w:type="paragraph" w:styleId="berschrift6">
    <w:name w:val="heading 6"/>
    <w:basedOn w:val="Standard"/>
    <w:next w:val="Standard"/>
    <w:link w:val="berschrift6Zchn"/>
    <w:qFormat/>
    <w:rsid w:val="003257BB"/>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57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57BB"/>
    <w:rPr>
      <w:rFonts w:ascii="Tahoma" w:hAnsi="Tahoma" w:cs="Tahoma"/>
      <w:sz w:val="16"/>
      <w:szCs w:val="16"/>
    </w:rPr>
  </w:style>
  <w:style w:type="paragraph" w:styleId="Kopfzeile">
    <w:name w:val="header"/>
    <w:aliases w:val="Unterstreichen,Unterstreichen Char"/>
    <w:basedOn w:val="Standard"/>
    <w:link w:val="KopfzeileZchn"/>
    <w:uiPriority w:val="99"/>
    <w:unhideWhenUsed/>
    <w:rsid w:val="003257BB"/>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3257BB"/>
  </w:style>
  <w:style w:type="paragraph" w:styleId="Fuzeile">
    <w:name w:val="footer"/>
    <w:basedOn w:val="Standard"/>
    <w:link w:val="FuzeileZchn"/>
    <w:unhideWhenUsed/>
    <w:rsid w:val="003257BB"/>
    <w:pPr>
      <w:tabs>
        <w:tab w:val="center" w:pos="4536"/>
        <w:tab w:val="right" w:pos="9072"/>
      </w:tabs>
    </w:pPr>
  </w:style>
  <w:style w:type="character" w:customStyle="1" w:styleId="FuzeileZchn">
    <w:name w:val="Fußzeile Zchn"/>
    <w:basedOn w:val="Absatz-Standardschriftart"/>
    <w:link w:val="Fuzeile"/>
    <w:uiPriority w:val="99"/>
    <w:rsid w:val="003257BB"/>
  </w:style>
  <w:style w:type="character" w:styleId="Seitenzahl">
    <w:name w:val="page number"/>
    <w:basedOn w:val="Absatz-Standardschriftart"/>
    <w:rsid w:val="003257BB"/>
  </w:style>
  <w:style w:type="character" w:customStyle="1" w:styleId="berschrift2Zchn">
    <w:name w:val="Überschrift 2 Zchn"/>
    <w:basedOn w:val="Absatz-Standardschriftart"/>
    <w:link w:val="berschrift2"/>
    <w:rsid w:val="003257BB"/>
    <w:rPr>
      <w:rFonts w:ascii="Arial" w:eastAsia="Times New Roman" w:hAnsi="Arial" w:cs="Times New Roman"/>
      <w:b/>
      <w:sz w:val="24"/>
      <w:szCs w:val="20"/>
      <w:lang w:eastAsia="de-DE"/>
    </w:rPr>
  </w:style>
  <w:style w:type="character" w:customStyle="1" w:styleId="berschrift6Zchn">
    <w:name w:val="Überschrift 6 Zchn"/>
    <w:basedOn w:val="Absatz-Standardschriftart"/>
    <w:link w:val="berschrift6"/>
    <w:rsid w:val="003257BB"/>
    <w:rPr>
      <w:rFonts w:ascii="Arial" w:eastAsia="Times New Roman" w:hAnsi="Arial" w:cs="Times New Roman"/>
      <w:b/>
      <w:sz w:val="44"/>
      <w:szCs w:val="20"/>
      <w:lang w:bidi="he-IL"/>
    </w:rPr>
  </w:style>
  <w:style w:type="paragraph" w:styleId="Listenabsatz">
    <w:name w:val="List Paragraph"/>
    <w:basedOn w:val="Standard"/>
    <w:uiPriority w:val="34"/>
    <w:qFormat/>
    <w:rsid w:val="00966720"/>
    <w:pPr>
      <w:spacing w:after="200" w:line="276" w:lineRule="auto"/>
      <w:ind w:left="720"/>
      <w:contextualSpacing/>
    </w:pPr>
    <w:rPr>
      <w:rFonts w:ascii="ITCFranklinGothic LT Book" w:eastAsiaTheme="minorHAnsi" w:hAnsi="ITCFranklinGothic LT Book" w:cstheme="minorBidi"/>
      <w:sz w:val="22"/>
      <w:szCs w:val="22"/>
      <w:lang w:eastAsia="en-US" w:bidi="ar-SA"/>
    </w:rPr>
  </w:style>
  <w:style w:type="character" w:styleId="Hyperlink">
    <w:name w:val="Hyperlink"/>
    <w:basedOn w:val="Absatz-Standardschriftart"/>
    <w:uiPriority w:val="99"/>
    <w:unhideWhenUsed/>
    <w:rsid w:val="00966720"/>
    <w:rPr>
      <w:color w:val="0000FF" w:themeColor="hyperlink"/>
      <w:u w:val="single"/>
    </w:rPr>
  </w:style>
  <w:style w:type="table" w:styleId="Tabellengitternetz">
    <w:name w:val="Table Grid"/>
    <w:basedOn w:val="NormaleTabelle"/>
    <w:uiPriority w:val="39"/>
    <w:rsid w:val="00966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semiHidden/>
    <w:unhideWhenUsed/>
    <w:rsid w:val="00966720"/>
    <w:pPr>
      <w:jc w:val="both"/>
    </w:pPr>
    <w:rPr>
      <w:sz w:val="24"/>
      <w:lang w:bidi="ar-SA"/>
    </w:rPr>
  </w:style>
  <w:style w:type="character" w:customStyle="1" w:styleId="TextkrperZchn">
    <w:name w:val="Textkörper Zchn"/>
    <w:basedOn w:val="Absatz-Standardschriftart"/>
    <w:link w:val="Textkrper"/>
    <w:semiHidden/>
    <w:rsid w:val="00966720"/>
    <w:rPr>
      <w:rFonts w:ascii="Times New Roman" w:eastAsia="Times New Roman" w:hAnsi="Times New Roman" w:cs="Times New Roman"/>
      <w:sz w:val="24"/>
      <w:szCs w:val="20"/>
      <w:lang w:eastAsia="de-DE"/>
    </w:rPr>
  </w:style>
  <w:style w:type="table" w:customStyle="1" w:styleId="Tabellenraster1">
    <w:name w:val="Tabellenraster1"/>
    <w:basedOn w:val="NormaleTabelle"/>
    <w:next w:val="Tabellengitternetz"/>
    <w:uiPriority w:val="39"/>
    <w:rsid w:val="00E47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C450A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ologenportal.de/patient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rtiprotekt.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1F5C0934-6326-49F0-B471-3B19D618912D}"/>
      </w:docPartPr>
      <w:docPartBody>
        <w:p w:rsidR="00802098" w:rsidRDefault="007C291F">
          <w:r w:rsidRPr="0039151C">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 LT Book">
    <w:altName w:val="Bell MT"/>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C291F"/>
    <w:rsid w:val="000F6D05"/>
    <w:rsid w:val="007C291F"/>
    <w:rsid w:val="008020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20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291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1586</Words>
  <Characters>9998</Characters>
  <Application>Microsoft Office Word</Application>
  <DocSecurity>8</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mensah</cp:lastModifiedBy>
  <cp:revision>2</cp:revision>
  <dcterms:created xsi:type="dcterms:W3CDTF">2017-03-30T12:37:00Z</dcterms:created>
  <dcterms:modified xsi:type="dcterms:W3CDTF">2017-03-30T12:37:00Z</dcterms:modified>
</cp:coreProperties>
</file>